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108" w:rsidRPr="002A3EAD" w:rsidRDefault="007E1FFC" w:rsidP="0049372C">
      <w:pPr>
        <w:pStyle w:val="Title"/>
        <w:rPr>
          <w:rFonts w:ascii="Times New Roman" w:hAnsi="Times New Roman"/>
          <w:sz w:val="24"/>
        </w:rPr>
      </w:pPr>
      <w:bookmarkStart w:id="0" w:name="_GoBack"/>
      <w:bookmarkEnd w:id="0"/>
      <w:r>
        <w:rPr>
          <w:rFonts w:ascii="Times New Roman" w:hAnsi="Times New Roman"/>
          <w:sz w:val="24"/>
        </w:rPr>
        <w:tab/>
      </w:r>
      <w:r w:rsidR="00DF4652" w:rsidRPr="002A3EAD">
        <w:rPr>
          <w:rFonts w:ascii="Times New Roman" w:hAnsi="Times New Roman"/>
          <w:sz w:val="24"/>
        </w:rPr>
        <w:t>Финансово-</w:t>
      </w:r>
      <w:r w:rsidR="005B3108" w:rsidRPr="002A3EAD">
        <w:rPr>
          <w:rFonts w:ascii="Times New Roman" w:hAnsi="Times New Roman"/>
          <w:sz w:val="24"/>
        </w:rPr>
        <w:t>икономически анализ</w:t>
      </w:r>
    </w:p>
    <w:p w:rsidR="00944690" w:rsidRPr="00AB2D62" w:rsidRDefault="00747CAD" w:rsidP="00AB2D62">
      <w:pPr>
        <w:ind w:left="180"/>
        <w:jc w:val="center"/>
        <w:rPr>
          <w:b/>
          <w:caps/>
          <w:lang w:val="en-US"/>
        </w:rPr>
      </w:pPr>
      <w:r w:rsidRPr="002A3EAD">
        <w:rPr>
          <w:b/>
          <w:caps/>
        </w:rPr>
        <w:t xml:space="preserve">на дейността на ДП </w:t>
      </w:r>
      <w:r w:rsidR="00653C86" w:rsidRPr="002A3EAD">
        <w:rPr>
          <w:b/>
          <w:caps/>
        </w:rPr>
        <w:t>РВД</w:t>
      </w:r>
      <w:r w:rsidR="00BE4071" w:rsidRPr="002A3EAD">
        <w:rPr>
          <w:b/>
          <w:caps/>
        </w:rPr>
        <w:t xml:space="preserve"> към </w:t>
      </w:r>
      <w:r w:rsidR="000847E3">
        <w:rPr>
          <w:b/>
          <w:caps/>
          <w:lang w:val="en-US"/>
        </w:rPr>
        <w:t>30.09</w:t>
      </w:r>
      <w:r w:rsidR="00B82D80" w:rsidRPr="002A3EAD">
        <w:rPr>
          <w:b/>
          <w:caps/>
          <w:lang w:val="en-US"/>
        </w:rPr>
        <w:t>.</w:t>
      </w:r>
      <w:r w:rsidR="000D2F09" w:rsidRPr="002A3EAD">
        <w:rPr>
          <w:b/>
          <w:caps/>
          <w:lang w:val="ru-RU"/>
        </w:rPr>
        <w:t>201</w:t>
      </w:r>
      <w:r w:rsidR="00AD019E">
        <w:rPr>
          <w:b/>
          <w:caps/>
          <w:lang w:val="en-US"/>
        </w:rPr>
        <w:t>8</w:t>
      </w:r>
      <w:r w:rsidR="00EC0D43" w:rsidRPr="002A3EAD">
        <w:rPr>
          <w:b/>
          <w:caps/>
          <w:lang w:val="ru-RU"/>
        </w:rPr>
        <w:t xml:space="preserve"> </w:t>
      </w:r>
      <w:r w:rsidR="00442CDF" w:rsidRPr="002A3EAD">
        <w:rPr>
          <w:b/>
          <w:caps/>
          <w:lang w:val="ru-RU"/>
        </w:rPr>
        <w:t>г.</w:t>
      </w:r>
      <w:r w:rsidR="00944690" w:rsidRPr="002A3EAD">
        <w:rPr>
          <w:b/>
          <w:caps/>
          <w:lang w:val="ru-RU"/>
        </w:rPr>
        <w:t xml:space="preserve"> </w:t>
      </w:r>
      <w:r w:rsidR="00ED6353">
        <w:rPr>
          <w:b/>
          <w:caps/>
          <w:lang w:val="ru-RU"/>
        </w:rPr>
        <w:t xml:space="preserve"> </w:t>
      </w:r>
    </w:p>
    <w:p w:rsidR="00EB5CEE" w:rsidRPr="00791654" w:rsidRDefault="00944690" w:rsidP="00791654">
      <w:pPr>
        <w:ind w:left="180"/>
        <w:jc w:val="center"/>
        <w:rPr>
          <w:b/>
          <w:caps/>
          <w:lang w:val="ru-RU"/>
        </w:rPr>
      </w:pPr>
      <w:r w:rsidRPr="002A3EAD">
        <w:rPr>
          <w:b/>
          <w:caps/>
          <w:lang w:val="ru-RU"/>
        </w:rPr>
        <w:t>ПО ОПЕРАТИВНИ ДАННИ</w:t>
      </w:r>
      <w:r w:rsidR="006B5DA7" w:rsidRPr="002A3EAD">
        <w:rPr>
          <w:b/>
          <w:caps/>
          <w:lang w:val="ru-RU"/>
        </w:rPr>
        <w:t xml:space="preserve"> </w:t>
      </w:r>
    </w:p>
    <w:tbl>
      <w:tblPr>
        <w:tblW w:w="5000" w:type="pct"/>
        <w:jc w:val="right"/>
        <w:tblCellMar>
          <w:left w:w="70" w:type="dxa"/>
          <w:right w:w="70" w:type="dxa"/>
        </w:tblCellMar>
        <w:tblLook w:val="0000" w:firstRow="0" w:lastRow="0" w:firstColumn="0" w:lastColumn="0" w:noHBand="0" w:noVBand="0"/>
      </w:tblPr>
      <w:tblGrid>
        <w:gridCol w:w="3248"/>
        <w:gridCol w:w="108"/>
        <w:gridCol w:w="1161"/>
        <w:gridCol w:w="26"/>
        <w:gridCol w:w="1106"/>
        <w:gridCol w:w="51"/>
        <w:gridCol w:w="1102"/>
        <w:gridCol w:w="18"/>
        <w:gridCol w:w="1590"/>
        <w:gridCol w:w="39"/>
        <w:gridCol w:w="18"/>
        <w:gridCol w:w="1715"/>
      </w:tblGrid>
      <w:tr w:rsidR="005B3108" w:rsidRPr="002A3EAD" w:rsidTr="00C0120B">
        <w:trPr>
          <w:cantSplit/>
          <w:trHeight w:val="255"/>
          <w:jc w:val="right"/>
        </w:trPr>
        <w:tc>
          <w:tcPr>
            <w:tcW w:w="5000" w:type="pct"/>
            <w:gridSpan w:val="12"/>
            <w:shd w:val="clear" w:color="auto" w:fill="C0C0C0"/>
            <w:vAlign w:val="bottom"/>
          </w:tcPr>
          <w:p w:rsidR="005B3108" w:rsidRPr="002A3EAD" w:rsidRDefault="005B3108" w:rsidP="0049372C">
            <w:pPr>
              <w:jc w:val="center"/>
              <w:rPr>
                <w:b/>
                <w:lang w:val="en-US"/>
              </w:rPr>
            </w:pPr>
            <w:r w:rsidRPr="002A3EAD">
              <w:rPr>
                <w:b/>
              </w:rPr>
              <w:t>ОСНОВНИ ФИНАНСОВИ И ОПЕРАТИВНИ ПОКАЗАТЕЛИ</w:t>
            </w:r>
          </w:p>
          <w:p w:rsidR="00604FF8" w:rsidRPr="002A3EAD" w:rsidRDefault="00604FF8" w:rsidP="0049372C">
            <w:pPr>
              <w:jc w:val="center"/>
              <w:rPr>
                <w:b/>
                <w:lang w:val="en-US"/>
              </w:rPr>
            </w:pPr>
          </w:p>
        </w:tc>
      </w:tr>
      <w:tr w:rsidR="005B3108" w:rsidRPr="002A3EAD" w:rsidTr="00743321">
        <w:trPr>
          <w:trHeight w:val="270"/>
          <w:jc w:val="right"/>
        </w:trPr>
        <w:tc>
          <w:tcPr>
            <w:tcW w:w="1595" w:type="pct"/>
            <w:tcBorders>
              <w:bottom w:val="double" w:sz="4" w:space="0" w:color="auto"/>
            </w:tcBorders>
            <w:vAlign w:val="bottom"/>
          </w:tcPr>
          <w:p w:rsidR="00A631A7" w:rsidRPr="002A3EAD" w:rsidRDefault="00A631A7" w:rsidP="0049372C">
            <w:pPr>
              <w:rPr>
                <w:lang w:val="en-US"/>
              </w:rPr>
            </w:pPr>
          </w:p>
        </w:tc>
        <w:tc>
          <w:tcPr>
            <w:tcW w:w="636" w:type="pct"/>
            <w:gridSpan w:val="3"/>
            <w:tcBorders>
              <w:bottom w:val="double" w:sz="4" w:space="0" w:color="auto"/>
            </w:tcBorders>
            <w:vAlign w:val="bottom"/>
          </w:tcPr>
          <w:p w:rsidR="005B3108" w:rsidRPr="002A3EAD" w:rsidRDefault="005B3108" w:rsidP="0049372C">
            <w:pPr>
              <w:jc w:val="center"/>
            </w:pPr>
            <w:r w:rsidRPr="002A3EAD">
              <w:t>1</w:t>
            </w:r>
          </w:p>
        </w:tc>
        <w:tc>
          <w:tcPr>
            <w:tcW w:w="543" w:type="pct"/>
            <w:tcBorders>
              <w:bottom w:val="double" w:sz="4" w:space="0" w:color="auto"/>
            </w:tcBorders>
            <w:vAlign w:val="bottom"/>
          </w:tcPr>
          <w:p w:rsidR="005B3108" w:rsidRPr="002A3EAD" w:rsidRDefault="005B3108" w:rsidP="0049372C">
            <w:pPr>
              <w:jc w:val="center"/>
            </w:pPr>
            <w:r w:rsidRPr="002A3EAD">
              <w:t>2</w:t>
            </w:r>
          </w:p>
        </w:tc>
        <w:tc>
          <w:tcPr>
            <w:tcW w:w="575" w:type="pct"/>
            <w:gridSpan w:val="3"/>
            <w:tcBorders>
              <w:bottom w:val="double" w:sz="4" w:space="0" w:color="auto"/>
            </w:tcBorders>
            <w:vAlign w:val="bottom"/>
          </w:tcPr>
          <w:p w:rsidR="005B3108" w:rsidRPr="002A3EAD" w:rsidRDefault="005B3108" w:rsidP="0049372C">
            <w:r w:rsidRPr="002A3EAD">
              <w:t> </w:t>
            </w:r>
          </w:p>
        </w:tc>
        <w:tc>
          <w:tcPr>
            <w:tcW w:w="809" w:type="pct"/>
            <w:gridSpan w:val="3"/>
            <w:tcBorders>
              <w:bottom w:val="double" w:sz="4" w:space="0" w:color="auto"/>
            </w:tcBorders>
            <w:vAlign w:val="bottom"/>
          </w:tcPr>
          <w:p w:rsidR="005B3108" w:rsidRPr="002A3EAD" w:rsidRDefault="005B3108" w:rsidP="0049372C">
            <w:pPr>
              <w:jc w:val="center"/>
            </w:pPr>
            <w:r w:rsidRPr="002A3EAD">
              <w:t>3</w:t>
            </w:r>
          </w:p>
        </w:tc>
        <w:tc>
          <w:tcPr>
            <w:tcW w:w="842" w:type="pct"/>
            <w:tcBorders>
              <w:bottom w:val="double" w:sz="4" w:space="0" w:color="auto"/>
            </w:tcBorders>
            <w:vAlign w:val="bottom"/>
          </w:tcPr>
          <w:p w:rsidR="005B3108" w:rsidRPr="002A3EAD" w:rsidRDefault="005B3108" w:rsidP="0049372C">
            <w:r w:rsidRPr="002A3EAD">
              <w:t> </w:t>
            </w:r>
          </w:p>
        </w:tc>
      </w:tr>
      <w:tr w:rsidR="005B3108" w:rsidRPr="002A3EAD" w:rsidTr="00743321">
        <w:trPr>
          <w:trHeight w:val="1035"/>
          <w:jc w:val="right"/>
        </w:trPr>
        <w:tc>
          <w:tcPr>
            <w:tcW w:w="1595" w:type="pct"/>
            <w:tcBorders>
              <w:top w:val="double" w:sz="4" w:space="0" w:color="auto"/>
              <w:left w:val="double" w:sz="4" w:space="0" w:color="auto"/>
              <w:bottom w:val="single" w:sz="4" w:space="0" w:color="auto"/>
              <w:right w:val="nil"/>
            </w:tcBorders>
            <w:shd w:val="clear" w:color="auto" w:fill="FFFFFF" w:themeFill="background1"/>
            <w:vAlign w:val="center"/>
          </w:tcPr>
          <w:p w:rsidR="005B3108" w:rsidRPr="001D0987" w:rsidRDefault="005B3108" w:rsidP="008432BB">
            <w:pPr>
              <w:jc w:val="center"/>
              <w:rPr>
                <w:b/>
              </w:rPr>
            </w:pPr>
            <w:r w:rsidRPr="001D0987">
              <w:rPr>
                <w:b/>
              </w:rPr>
              <w:t xml:space="preserve">в хил. </w:t>
            </w:r>
            <w:r w:rsidR="00AB0F2D" w:rsidRPr="001D0987">
              <w:rPr>
                <w:b/>
              </w:rPr>
              <w:t>л</w:t>
            </w:r>
            <w:r w:rsidR="008432BB" w:rsidRPr="001D0987">
              <w:rPr>
                <w:b/>
              </w:rPr>
              <w:t>ева</w:t>
            </w:r>
          </w:p>
        </w:tc>
        <w:tc>
          <w:tcPr>
            <w:tcW w:w="636" w:type="pct"/>
            <w:gridSpan w:val="3"/>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5B3108" w:rsidRPr="001D0987" w:rsidRDefault="005B3108" w:rsidP="0049372C">
            <w:pPr>
              <w:jc w:val="center"/>
              <w:rPr>
                <w:b/>
              </w:rPr>
            </w:pPr>
            <w:r w:rsidRPr="001D0987">
              <w:rPr>
                <w:b/>
              </w:rPr>
              <w:t>отчетен период</w:t>
            </w:r>
          </w:p>
        </w:tc>
        <w:tc>
          <w:tcPr>
            <w:tcW w:w="543" w:type="pct"/>
            <w:tcBorders>
              <w:top w:val="double" w:sz="4" w:space="0" w:color="auto"/>
              <w:left w:val="nil"/>
              <w:bottom w:val="single" w:sz="4" w:space="0" w:color="auto"/>
              <w:right w:val="nil"/>
            </w:tcBorders>
            <w:shd w:val="clear" w:color="auto" w:fill="FFFFFF" w:themeFill="background1"/>
            <w:vAlign w:val="center"/>
          </w:tcPr>
          <w:p w:rsidR="00874FF9" w:rsidRPr="001D0987" w:rsidRDefault="00874FF9" w:rsidP="0049372C">
            <w:pPr>
              <w:jc w:val="center"/>
              <w:rPr>
                <w:b/>
                <w:lang w:val="en-US"/>
              </w:rPr>
            </w:pPr>
          </w:p>
          <w:p w:rsidR="00874FF9" w:rsidRPr="001D0987" w:rsidRDefault="00793B17" w:rsidP="0049372C">
            <w:pPr>
              <w:jc w:val="center"/>
              <w:rPr>
                <w:b/>
                <w:lang w:val="en-US"/>
              </w:rPr>
            </w:pPr>
            <w:r w:rsidRPr="001D0987">
              <w:rPr>
                <w:b/>
              </w:rPr>
              <w:t xml:space="preserve">ГФП </w:t>
            </w:r>
          </w:p>
          <w:p w:rsidR="00ED5718" w:rsidRPr="001D0987" w:rsidRDefault="000D2F09" w:rsidP="0049372C">
            <w:pPr>
              <w:jc w:val="center"/>
              <w:rPr>
                <w:b/>
              </w:rPr>
            </w:pPr>
            <w:r w:rsidRPr="001D0987">
              <w:rPr>
                <w:b/>
              </w:rPr>
              <w:t>201</w:t>
            </w:r>
            <w:r w:rsidR="00AD019E">
              <w:rPr>
                <w:b/>
              </w:rPr>
              <w:t>8</w:t>
            </w:r>
            <w:r w:rsidR="00874FF9" w:rsidRPr="001D0987">
              <w:rPr>
                <w:b/>
                <w:lang w:val="en-US"/>
              </w:rPr>
              <w:t xml:space="preserve"> </w:t>
            </w:r>
            <w:r w:rsidR="00793B17" w:rsidRPr="001D0987">
              <w:rPr>
                <w:b/>
              </w:rPr>
              <w:t>г.</w:t>
            </w:r>
          </w:p>
          <w:p w:rsidR="00E61E49" w:rsidRPr="001D0987" w:rsidRDefault="00E61E49" w:rsidP="0049372C">
            <w:pPr>
              <w:jc w:val="center"/>
              <w:rPr>
                <w:b/>
              </w:rPr>
            </w:pPr>
          </w:p>
        </w:tc>
        <w:tc>
          <w:tcPr>
            <w:tcW w:w="575" w:type="pct"/>
            <w:gridSpan w:val="3"/>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5B3108" w:rsidRPr="001D0987" w:rsidRDefault="005B3108" w:rsidP="0049372C">
            <w:pPr>
              <w:jc w:val="center"/>
              <w:rPr>
                <w:b/>
              </w:rPr>
            </w:pPr>
            <w:r w:rsidRPr="001D0987">
              <w:rPr>
                <w:b/>
              </w:rPr>
              <w:t>1/2</w:t>
            </w:r>
          </w:p>
          <w:p w:rsidR="005B3108" w:rsidRPr="001D0987" w:rsidRDefault="005B3108" w:rsidP="0049372C">
            <w:pPr>
              <w:jc w:val="center"/>
              <w:rPr>
                <w:b/>
              </w:rPr>
            </w:pPr>
            <w:r w:rsidRPr="001D0987">
              <w:rPr>
                <w:b/>
              </w:rPr>
              <w:t>(%)</w:t>
            </w:r>
          </w:p>
        </w:tc>
        <w:tc>
          <w:tcPr>
            <w:tcW w:w="809" w:type="pct"/>
            <w:gridSpan w:val="3"/>
            <w:tcBorders>
              <w:top w:val="double" w:sz="4" w:space="0" w:color="auto"/>
              <w:left w:val="nil"/>
              <w:bottom w:val="single" w:sz="4" w:space="0" w:color="auto"/>
              <w:right w:val="nil"/>
            </w:tcBorders>
            <w:shd w:val="clear" w:color="auto" w:fill="FFFFFF" w:themeFill="background1"/>
            <w:vAlign w:val="center"/>
          </w:tcPr>
          <w:p w:rsidR="005B3108" w:rsidRPr="001D0987" w:rsidRDefault="005B3108" w:rsidP="0049372C">
            <w:pPr>
              <w:jc w:val="center"/>
              <w:rPr>
                <w:b/>
              </w:rPr>
            </w:pPr>
            <w:r w:rsidRPr="001D0987">
              <w:rPr>
                <w:b/>
              </w:rPr>
              <w:t>съответен период на предходна година</w:t>
            </w:r>
          </w:p>
        </w:tc>
        <w:tc>
          <w:tcPr>
            <w:tcW w:w="842" w:type="pct"/>
            <w:tcBorders>
              <w:top w:val="double" w:sz="4" w:space="0" w:color="auto"/>
              <w:left w:val="single" w:sz="4" w:space="0" w:color="auto"/>
              <w:bottom w:val="single" w:sz="4" w:space="0" w:color="auto"/>
              <w:right w:val="double" w:sz="4" w:space="0" w:color="auto"/>
            </w:tcBorders>
            <w:shd w:val="clear" w:color="auto" w:fill="FFFFFF" w:themeFill="background1"/>
            <w:vAlign w:val="center"/>
          </w:tcPr>
          <w:p w:rsidR="005B3108" w:rsidRPr="001D0987" w:rsidRDefault="005B3108" w:rsidP="0049372C">
            <w:pPr>
              <w:jc w:val="center"/>
              <w:rPr>
                <w:b/>
              </w:rPr>
            </w:pPr>
            <w:r w:rsidRPr="001D0987">
              <w:rPr>
                <w:b/>
              </w:rPr>
              <w:t>1/3</w:t>
            </w:r>
          </w:p>
          <w:p w:rsidR="005B3108" w:rsidRPr="001D0987" w:rsidRDefault="005B3108" w:rsidP="0049372C">
            <w:pPr>
              <w:jc w:val="center"/>
              <w:rPr>
                <w:b/>
              </w:rPr>
            </w:pPr>
            <w:r w:rsidRPr="001D0987">
              <w:rPr>
                <w:b/>
              </w:rPr>
              <w:t>(%)</w:t>
            </w:r>
          </w:p>
        </w:tc>
      </w:tr>
      <w:tr w:rsidR="00743321" w:rsidRPr="00791654" w:rsidTr="00743321">
        <w:trPr>
          <w:trHeight w:val="473"/>
          <w:jc w:val="right"/>
        </w:trPr>
        <w:tc>
          <w:tcPr>
            <w:tcW w:w="1595" w:type="pct"/>
            <w:tcBorders>
              <w:top w:val="single" w:sz="4" w:space="0" w:color="auto"/>
              <w:left w:val="double" w:sz="4" w:space="0" w:color="auto"/>
              <w:bottom w:val="single" w:sz="4" w:space="0" w:color="auto"/>
              <w:right w:val="single" w:sz="4" w:space="0" w:color="auto"/>
            </w:tcBorders>
            <w:shd w:val="clear" w:color="auto" w:fill="FFFFFF" w:themeFill="background1"/>
            <w:vAlign w:val="center"/>
          </w:tcPr>
          <w:p w:rsidR="00743321" w:rsidRPr="001D0987" w:rsidRDefault="00743321" w:rsidP="00743321">
            <w:r w:rsidRPr="001D0987">
              <w:t>Нетни приходи от продажби</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rPr>
                <w:lang w:eastAsia="bg-BG"/>
              </w:rPr>
            </w:pPr>
            <w:r w:rsidRPr="00743321">
              <w:t>166,556</w:t>
            </w:r>
          </w:p>
        </w:tc>
        <w:tc>
          <w:tcPr>
            <w:tcW w:w="543" w:type="pct"/>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166,155</w:t>
            </w:r>
          </w:p>
        </w:tc>
        <w:tc>
          <w:tcPr>
            <w:tcW w:w="575"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r w:rsidRPr="00743321">
              <w:t>0.2%</w:t>
            </w:r>
          </w:p>
        </w:tc>
        <w:tc>
          <w:tcPr>
            <w:tcW w:w="809" w:type="pct"/>
            <w:gridSpan w:val="3"/>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151,054</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743321" w:rsidRPr="00743321" w:rsidRDefault="00743321" w:rsidP="00743321">
            <w:pPr>
              <w:jc w:val="right"/>
            </w:pPr>
            <w:r w:rsidRPr="00743321">
              <w:t>10.3%</w:t>
            </w:r>
          </w:p>
        </w:tc>
      </w:tr>
      <w:tr w:rsidR="00743321" w:rsidRPr="00791654" w:rsidTr="00743321">
        <w:trPr>
          <w:trHeight w:val="315"/>
          <w:jc w:val="right"/>
        </w:trPr>
        <w:tc>
          <w:tcPr>
            <w:tcW w:w="1595" w:type="pct"/>
            <w:tcBorders>
              <w:top w:val="single" w:sz="4" w:space="0" w:color="auto"/>
              <w:left w:val="double" w:sz="4" w:space="0" w:color="auto"/>
              <w:bottom w:val="single" w:sz="4" w:space="0" w:color="auto"/>
              <w:right w:val="single" w:sz="4" w:space="0" w:color="auto"/>
            </w:tcBorders>
            <w:shd w:val="clear" w:color="auto" w:fill="FFFFFF" w:themeFill="background1"/>
            <w:vAlign w:val="center"/>
          </w:tcPr>
          <w:p w:rsidR="00743321" w:rsidRPr="001D0987" w:rsidRDefault="00743321" w:rsidP="00743321">
            <w:r w:rsidRPr="001D0987">
              <w:t>Оперативни разходи</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r w:rsidRPr="00743321">
              <w:t>112,416</w:t>
            </w:r>
          </w:p>
        </w:tc>
        <w:tc>
          <w:tcPr>
            <w:tcW w:w="543" w:type="pct"/>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121,418</w:t>
            </w:r>
          </w:p>
        </w:tc>
        <w:tc>
          <w:tcPr>
            <w:tcW w:w="575"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r w:rsidRPr="00743321">
              <w:t>-7.4%</w:t>
            </w:r>
          </w:p>
        </w:tc>
        <w:tc>
          <w:tcPr>
            <w:tcW w:w="809" w:type="pct"/>
            <w:gridSpan w:val="3"/>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103,603</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743321" w:rsidRPr="00743321" w:rsidRDefault="00743321" w:rsidP="00743321">
            <w:pPr>
              <w:jc w:val="right"/>
            </w:pPr>
            <w:r w:rsidRPr="00743321">
              <w:t>8.5%</w:t>
            </w:r>
          </w:p>
        </w:tc>
      </w:tr>
      <w:tr w:rsidR="00743321" w:rsidRPr="00791654" w:rsidTr="00743321">
        <w:trPr>
          <w:trHeight w:val="315"/>
          <w:jc w:val="right"/>
        </w:trPr>
        <w:tc>
          <w:tcPr>
            <w:tcW w:w="1595" w:type="pct"/>
            <w:tcBorders>
              <w:top w:val="single" w:sz="4" w:space="0" w:color="auto"/>
              <w:left w:val="double" w:sz="4" w:space="0" w:color="auto"/>
              <w:bottom w:val="single" w:sz="4" w:space="0" w:color="auto"/>
              <w:right w:val="single" w:sz="4" w:space="0" w:color="auto"/>
            </w:tcBorders>
            <w:shd w:val="clear" w:color="auto" w:fill="FFFFFF" w:themeFill="background1"/>
            <w:vAlign w:val="center"/>
          </w:tcPr>
          <w:p w:rsidR="00743321" w:rsidRPr="001D0987" w:rsidRDefault="00743321" w:rsidP="00743321">
            <w:r w:rsidRPr="001D0987">
              <w:t>Печалба преди лихви и данъци и амортизации</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r w:rsidRPr="00743321">
              <w:t>54,140</w:t>
            </w:r>
          </w:p>
        </w:tc>
        <w:tc>
          <w:tcPr>
            <w:tcW w:w="543" w:type="pct"/>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44,737</w:t>
            </w:r>
          </w:p>
        </w:tc>
        <w:tc>
          <w:tcPr>
            <w:tcW w:w="575"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r w:rsidRPr="00743321">
              <w:t>21.0%</w:t>
            </w:r>
          </w:p>
        </w:tc>
        <w:tc>
          <w:tcPr>
            <w:tcW w:w="809" w:type="pct"/>
            <w:gridSpan w:val="3"/>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47,451</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743321" w:rsidRPr="00743321" w:rsidRDefault="00743321" w:rsidP="00743321">
            <w:pPr>
              <w:jc w:val="right"/>
            </w:pPr>
            <w:r w:rsidRPr="00743321">
              <w:t>14.1%</w:t>
            </w:r>
          </w:p>
        </w:tc>
      </w:tr>
      <w:tr w:rsidR="00743321" w:rsidRPr="00791654" w:rsidTr="00743321">
        <w:trPr>
          <w:trHeight w:val="315"/>
          <w:jc w:val="right"/>
        </w:trPr>
        <w:tc>
          <w:tcPr>
            <w:tcW w:w="1595" w:type="pct"/>
            <w:tcBorders>
              <w:top w:val="single" w:sz="4" w:space="0" w:color="auto"/>
              <w:left w:val="double" w:sz="4" w:space="0" w:color="auto"/>
              <w:bottom w:val="single" w:sz="4" w:space="0" w:color="auto"/>
              <w:right w:val="single" w:sz="4" w:space="0" w:color="auto"/>
            </w:tcBorders>
            <w:shd w:val="clear" w:color="auto" w:fill="FFFFFF" w:themeFill="background1"/>
            <w:vAlign w:val="center"/>
          </w:tcPr>
          <w:p w:rsidR="00743321" w:rsidRPr="001D0987" w:rsidRDefault="00743321" w:rsidP="00743321">
            <w:r w:rsidRPr="001D0987">
              <w:t>EBITDA/Приходи от продажби (%)</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r w:rsidRPr="00743321">
              <w:t>32.5%</w:t>
            </w:r>
          </w:p>
        </w:tc>
        <w:tc>
          <w:tcPr>
            <w:tcW w:w="543" w:type="pct"/>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26.9%</w:t>
            </w:r>
          </w:p>
        </w:tc>
        <w:tc>
          <w:tcPr>
            <w:tcW w:w="575"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p>
        </w:tc>
        <w:tc>
          <w:tcPr>
            <w:tcW w:w="809" w:type="pct"/>
            <w:gridSpan w:val="3"/>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31.4%</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743321" w:rsidRPr="00743321" w:rsidRDefault="00743321" w:rsidP="00743321">
            <w:pPr>
              <w:jc w:val="right"/>
            </w:pPr>
          </w:p>
        </w:tc>
      </w:tr>
      <w:tr w:rsidR="00743321" w:rsidRPr="00791654" w:rsidTr="00743321">
        <w:trPr>
          <w:trHeight w:val="315"/>
          <w:jc w:val="right"/>
        </w:trPr>
        <w:tc>
          <w:tcPr>
            <w:tcW w:w="1595" w:type="pct"/>
            <w:tcBorders>
              <w:top w:val="single" w:sz="4" w:space="0" w:color="auto"/>
              <w:left w:val="double" w:sz="4" w:space="0" w:color="auto"/>
              <w:bottom w:val="single" w:sz="4" w:space="0" w:color="auto"/>
              <w:right w:val="single" w:sz="4" w:space="0" w:color="auto"/>
            </w:tcBorders>
            <w:shd w:val="clear" w:color="auto" w:fill="FFFFFF" w:themeFill="background1"/>
            <w:vAlign w:val="center"/>
          </w:tcPr>
          <w:p w:rsidR="00743321" w:rsidRPr="001D0987" w:rsidRDefault="00743321" w:rsidP="00743321">
            <w:pPr>
              <w:pStyle w:val="FootnoteText"/>
              <w:rPr>
                <w:sz w:val="24"/>
                <w:szCs w:val="24"/>
              </w:rPr>
            </w:pPr>
            <w:r w:rsidRPr="001D0987">
              <w:rPr>
                <w:sz w:val="24"/>
                <w:szCs w:val="24"/>
              </w:rPr>
              <w:t>Печалба преди лихви и данъци (EBIT)</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r w:rsidRPr="00743321">
              <w:t>37,948</w:t>
            </w:r>
          </w:p>
        </w:tc>
        <w:tc>
          <w:tcPr>
            <w:tcW w:w="543" w:type="pct"/>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28,161</w:t>
            </w:r>
          </w:p>
        </w:tc>
        <w:tc>
          <w:tcPr>
            <w:tcW w:w="575"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r w:rsidRPr="00743321">
              <w:t>34.8%</w:t>
            </w:r>
          </w:p>
        </w:tc>
        <w:tc>
          <w:tcPr>
            <w:tcW w:w="809" w:type="pct"/>
            <w:gridSpan w:val="3"/>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33,053</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743321" w:rsidRPr="00743321" w:rsidRDefault="00743321" w:rsidP="00743321">
            <w:pPr>
              <w:jc w:val="right"/>
            </w:pPr>
            <w:r w:rsidRPr="00743321">
              <w:t>14.8%</w:t>
            </w:r>
          </w:p>
        </w:tc>
      </w:tr>
      <w:tr w:rsidR="00743321" w:rsidRPr="00791654" w:rsidTr="00743321">
        <w:trPr>
          <w:trHeight w:val="315"/>
          <w:jc w:val="right"/>
        </w:trPr>
        <w:tc>
          <w:tcPr>
            <w:tcW w:w="1595" w:type="pct"/>
            <w:tcBorders>
              <w:top w:val="single" w:sz="4" w:space="0" w:color="auto"/>
              <w:left w:val="double" w:sz="4" w:space="0" w:color="auto"/>
              <w:bottom w:val="single" w:sz="4" w:space="0" w:color="auto"/>
              <w:right w:val="single" w:sz="4" w:space="0" w:color="auto"/>
            </w:tcBorders>
            <w:shd w:val="clear" w:color="auto" w:fill="FFFFFF" w:themeFill="background1"/>
            <w:vAlign w:val="center"/>
          </w:tcPr>
          <w:p w:rsidR="00743321" w:rsidRPr="001D0987" w:rsidRDefault="00743321" w:rsidP="00743321">
            <w:r w:rsidRPr="001D0987">
              <w:t>ЕBIT/Приходи от продажби (%)</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r w:rsidRPr="00743321">
              <w:t>22.8%</w:t>
            </w:r>
          </w:p>
        </w:tc>
        <w:tc>
          <w:tcPr>
            <w:tcW w:w="543" w:type="pct"/>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16.9%</w:t>
            </w:r>
          </w:p>
        </w:tc>
        <w:tc>
          <w:tcPr>
            <w:tcW w:w="575"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p>
        </w:tc>
        <w:tc>
          <w:tcPr>
            <w:tcW w:w="809" w:type="pct"/>
            <w:gridSpan w:val="3"/>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21.9%</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743321" w:rsidRPr="00743321" w:rsidRDefault="00743321" w:rsidP="00743321">
            <w:pPr>
              <w:jc w:val="right"/>
            </w:pPr>
          </w:p>
        </w:tc>
      </w:tr>
      <w:tr w:rsidR="00743321" w:rsidRPr="00791654" w:rsidTr="00743321">
        <w:trPr>
          <w:trHeight w:val="315"/>
          <w:jc w:val="right"/>
        </w:trPr>
        <w:tc>
          <w:tcPr>
            <w:tcW w:w="1595" w:type="pct"/>
            <w:tcBorders>
              <w:top w:val="single" w:sz="4" w:space="0" w:color="auto"/>
              <w:left w:val="double" w:sz="4" w:space="0" w:color="auto"/>
              <w:bottom w:val="single" w:sz="4" w:space="0" w:color="auto"/>
              <w:right w:val="single" w:sz="4" w:space="0" w:color="auto"/>
            </w:tcBorders>
            <w:shd w:val="clear" w:color="auto" w:fill="FFFFFF" w:themeFill="background1"/>
            <w:vAlign w:val="center"/>
          </w:tcPr>
          <w:p w:rsidR="00743321" w:rsidRPr="001D0987" w:rsidRDefault="00743321" w:rsidP="00743321">
            <w:r w:rsidRPr="001D0987">
              <w:t>Печалба преди данъци</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r w:rsidRPr="00743321">
              <w:t>37,948</w:t>
            </w:r>
          </w:p>
        </w:tc>
        <w:tc>
          <w:tcPr>
            <w:tcW w:w="543" w:type="pct"/>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28,310</w:t>
            </w:r>
          </w:p>
        </w:tc>
        <w:tc>
          <w:tcPr>
            <w:tcW w:w="575"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r w:rsidRPr="00743321">
              <w:t>34.0%</w:t>
            </w:r>
          </w:p>
        </w:tc>
        <w:tc>
          <w:tcPr>
            <w:tcW w:w="809" w:type="pct"/>
            <w:gridSpan w:val="3"/>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33,226</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743321" w:rsidRPr="00743321" w:rsidRDefault="00743321" w:rsidP="00743321">
            <w:pPr>
              <w:jc w:val="right"/>
            </w:pPr>
            <w:r w:rsidRPr="00743321">
              <w:t>14.2%</w:t>
            </w:r>
          </w:p>
        </w:tc>
      </w:tr>
      <w:tr w:rsidR="00743321" w:rsidRPr="00791654" w:rsidTr="00743321">
        <w:trPr>
          <w:trHeight w:val="315"/>
          <w:jc w:val="right"/>
        </w:trPr>
        <w:tc>
          <w:tcPr>
            <w:tcW w:w="1595" w:type="pct"/>
            <w:tcBorders>
              <w:top w:val="single" w:sz="4" w:space="0" w:color="auto"/>
              <w:left w:val="double" w:sz="4" w:space="0" w:color="auto"/>
              <w:bottom w:val="single" w:sz="4" w:space="0" w:color="auto"/>
              <w:right w:val="single" w:sz="4" w:space="0" w:color="auto"/>
            </w:tcBorders>
            <w:shd w:val="clear" w:color="auto" w:fill="FFFFFF" w:themeFill="background1"/>
            <w:vAlign w:val="center"/>
          </w:tcPr>
          <w:p w:rsidR="00743321" w:rsidRPr="001D0987" w:rsidRDefault="00743321" w:rsidP="00743321">
            <w:r w:rsidRPr="001D0987">
              <w:t>Чиста печалба</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r w:rsidRPr="00743321">
              <w:t>34,153</w:t>
            </w:r>
          </w:p>
        </w:tc>
        <w:tc>
          <w:tcPr>
            <w:tcW w:w="543" w:type="pct"/>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25,479</w:t>
            </w:r>
          </w:p>
        </w:tc>
        <w:tc>
          <w:tcPr>
            <w:tcW w:w="575"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43321" w:rsidRPr="00743321" w:rsidRDefault="00743321" w:rsidP="00743321">
            <w:pPr>
              <w:jc w:val="right"/>
            </w:pPr>
            <w:r w:rsidRPr="00743321">
              <w:t>34.0%</w:t>
            </w:r>
          </w:p>
        </w:tc>
        <w:tc>
          <w:tcPr>
            <w:tcW w:w="809" w:type="pct"/>
            <w:gridSpan w:val="3"/>
            <w:tcBorders>
              <w:top w:val="single" w:sz="4" w:space="0" w:color="auto"/>
              <w:left w:val="nil"/>
              <w:bottom w:val="single" w:sz="4" w:space="0" w:color="auto"/>
              <w:right w:val="nil"/>
            </w:tcBorders>
            <w:shd w:val="clear" w:color="auto" w:fill="auto"/>
            <w:vAlign w:val="bottom"/>
          </w:tcPr>
          <w:p w:rsidR="00743321" w:rsidRPr="00743321" w:rsidRDefault="00743321" w:rsidP="00743321">
            <w:pPr>
              <w:jc w:val="right"/>
            </w:pPr>
            <w:r w:rsidRPr="00743321">
              <w:t>29,903</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743321" w:rsidRPr="00743321" w:rsidRDefault="00743321" w:rsidP="00743321">
            <w:pPr>
              <w:jc w:val="right"/>
            </w:pPr>
            <w:r w:rsidRPr="00743321">
              <w:t>14.2%</w:t>
            </w:r>
          </w:p>
        </w:tc>
      </w:tr>
      <w:tr w:rsidR="00743321" w:rsidRPr="00791654" w:rsidTr="00743321">
        <w:trPr>
          <w:trHeight w:val="315"/>
          <w:jc w:val="right"/>
        </w:trPr>
        <w:tc>
          <w:tcPr>
            <w:tcW w:w="1595" w:type="pct"/>
            <w:tcBorders>
              <w:top w:val="single" w:sz="4" w:space="0" w:color="auto"/>
              <w:left w:val="double" w:sz="4" w:space="0" w:color="auto"/>
              <w:bottom w:val="double" w:sz="4" w:space="0" w:color="auto"/>
              <w:right w:val="single" w:sz="4" w:space="0" w:color="auto"/>
            </w:tcBorders>
            <w:shd w:val="clear" w:color="auto" w:fill="FFFFFF" w:themeFill="background1"/>
            <w:vAlign w:val="center"/>
          </w:tcPr>
          <w:p w:rsidR="00743321" w:rsidRPr="001D0987" w:rsidRDefault="00743321" w:rsidP="00743321">
            <w:r w:rsidRPr="001D0987">
              <w:t>Паричен поток (печалба + амортизации)</w:t>
            </w:r>
          </w:p>
        </w:tc>
        <w:tc>
          <w:tcPr>
            <w:tcW w:w="636" w:type="pct"/>
            <w:gridSpan w:val="3"/>
            <w:tcBorders>
              <w:top w:val="single" w:sz="4" w:space="0" w:color="auto"/>
              <w:left w:val="single" w:sz="4" w:space="0" w:color="auto"/>
              <w:bottom w:val="double" w:sz="4" w:space="0" w:color="auto"/>
              <w:right w:val="single" w:sz="4" w:space="0" w:color="auto"/>
            </w:tcBorders>
            <w:shd w:val="clear" w:color="auto" w:fill="auto"/>
            <w:vAlign w:val="bottom"/>
          </w:tcPr>
          <w:p w:rsidR="00743321" w:rsidRPr="00743321" w:rsidRDefault="00743321" w:rsidP="00743321">
            <w:pPr>
              <w:jc w:val="right"/>
            </w:pPr>
            <w:r w:rsidRPr="00743321">
              <w:t>50,345</w:t>
            </w:r>
          </w:p>
        </w:tc>
        <w:tc>
          <w:tcPr>
            <w:tcW w:w="543" w:type="pct"/>
            <w:tcBorders>
              <w:top w:val="single" w:sz="4" w:space="0" w:color="auto"/>
              <w:left w:val="nil"/>
              <w:bottom w:val="double" w:sz="4" w:space="0" w:color="auto"/>
              <w:right w:val="nil"/>
            </w:tcBorders>
            <w:shd w:val="clear" w:color="auto" w:fill="auto"/>
            <w:vAlign w:val="bottom"/>
          </w:tcPr>
          <w:p w:rsidR="00743321" w:rsidRPr="00743321" w:rsidRDefault="00743321" w:rsidP="00743321">
            <w:pPr>
              <w:jc w:val="right"/>
            </w:pPr>
            <w:r w:rsidRPr="00743321">
              <w:t>42,055</w:t>
            </w:r>
          </w:p>
        </w:tc>
        <w:tc>
          <w:tcPr>
            <w:tcW w:w="575" w:type="pct"/>
            <w:gridSpan w:val="3"/>
            <w:tcBorders>
              <w:top w:val="single" w:sz="4" w:space="0" w:color="auto"/>
              <w:left w:val="single" w:sz="4" w:space="0" w:color="auto"/>
              <w:bottom w:val="double" w:sz="4" w:space="0" w:color="auto"/>
              <w:right w:val="single" w:sz="4" w:space="0" w:color="auto"/>
            </w:tcBorders>
            <w:shd w:val="clear" w:color="auto" w:fill="auto"/>
            <w:vAlign w:val="bottom"/>
          </w:tcPr>
          <w:p w:rsidR="00743321" w:rsidRPr="00743321" w:rsidRDefault="00743321" w:rsidP="00743321">
            <w:pPr>
              <w:jc w:val="right"/>
            </w:pPr>
            <w:r w:rsidRPr="00743321">
              <w:t>19.7%</w:t>
            </w:r>
          </w:p>
        </w:tc>
        <w:tc>
          <w:tcPr>
            <w:tcW w:w="809" w:type="pct"/>
            <w:gridSpan w:val="3"/>
            <w:tcBorders>
              <w:top w:val="single" w:sz="4" w:space="0" w:color="auto"/>
              <w:left w:val="nil"/>
              <w:bottom w:val="double" w:sz="4" w:space="0" w:color="auto"/>
              <w:right w:val="nil"/>
            </w:tcBorders>
            <w:shd w:val="clear" w:color="auto" w:fill="auto"/>
            <w:vAlign w:val="bottom"/>
          </w:tcPr>
          <w:p w:rsidR="00743321" w:rsidRPr="00743321" w:rsidRDefault="00743321" w:rsidP="00743321">
            <w:pPr>
              <w:jc w:val="right"/>
            </w:pPr>
            <w:r w:rsidRPr="00743321">
              <w:t>44,301</w:t>
            </w:r>
          </w:p>
        </w:tc>
        <w:tc>
          <w:tcPr>
            <w:tcW w:w="842" w:type="pct"/>
            <w:tcBorders>
              <w:top w:val="single" w:sz="4" w:space="0" w:color="auto"/>
              <w:left w:val="single" w:sz="4" w:space="0" w:color="auto"/>
              <w:bottom w:val="double" w:sz="4" w:space="0" w:color="auto"/>
              <w:right w:val="double" w:sz="4" w:space="0" w:color="auto"/>
            </w:tcBorders>
            <w:shd w:val="clear" w:color="auto" w:fill="auto"/>
            <w:vAlign w:val="bottom"/>
          </w:tcPr>
          <w:p w:rsidR="00743321" w:rsidRPr="00743321" w:rsidRDefault="00743321" w:rsidP="00743321">
            <w:pPr>
              <w:jc w:val="right"/>
            </w:pPr>
            <w:r w:rsidRPr="00743321">
              <w:t>13.6%</w:t>
            </w:r>
          </w:p>
        </w:tc>
      </w:tr>
      <w:tr w:rsidR="00743321" w:rsidRPr="002A3EAD" w:rsidTr="003C176C">
        <w:trPr>
          <w:trHeight w:val="155"/>
          <w:jc w:val="right"/>
        </w:trPr>
        <w:tc>
          <w:tcPr>
            <w:tcW w:w="1595" w:type="pct"/>
            <w:tcBorders>
              <w:top w:val="double" w:sz="4" w:space="0" w:color="auto"/>
              <w:bottom w:val="double" w:sz="4" w:space="0" w:color="auto"/>
            </w:tcBorders>
            <w:shd w:val="clear" w:color="auto" w:fill="C0C0C0"/>
            <w:vAlign w:val="center"/>
          </w:tcPr>
          <w:p w:rsidR="00743321" w:rsidRPr="002A3EAD" w:rsidRDefault="00743321" w:rsidP="00743321"/>
        </w:tc>
        <w:tc>
          <w:tcPr>
            <w:tcW w:w="636" w:type="pct"/>
            <w:gridSpan w:val="3"/>
            <w:tcBorders>
              <w:top w:val="double" w:sz="4" w:space="0" w:color="auto"/>
              <w:bottom w:val="double" w:sz="4" w:space="0" w:color="auto"/>
            </w:tcBorders>
            <w:shd w:val="clear" w:color="auto" w:fill="C0C0C0"/>
            <w:vAlign w:val="center"/>
          </w:tcPr>
          <w:p w:rsidR="00743321" w:rsidRPr="002A3EAD" w:rsidRDefault="00743321" w:rsidP="00743321">
            <w:pPr>
              <w:jc w:val="right"/>
              <w:rPr>
                <w:snapToGrid w:val="0"/>
                <w:color w:val="000000"/>
                <w:lang w:val="en-US" w:eastAsia="en-US"/>
              </w:rPr>
            </w:pPr>
          </w:p>
        </w:tc>
        <w:tc>
          <w:tcPr>
            <w:tcW w:w="543" w:type="pct"/>
            <w:tcBorders>
              <w:top w:val="double" w:sz="4" w:space="0" w:color="auto"/>
              <w:bottom w:val="double" w:sz="4" w:space="0" w:color="auto"/>
            </w:tcBorders>
            <w:shd w:val="clear" w:color="auto" w:fill="C0C0C0"/>
            <w:vAlign w:val="center"/>
          </w:tcPr>
          <w:p w:rsidR="00743321" w:rsidRPr="002A3EAD" w:rsidRDefault="00743321" w:rsidP="00743321">
            <w:pPr>
              <w:jc w:val="right"/>
              <w:rPr>
                <w:snapToGrid w:val="0"/>
                <w:color w:val="000000"/>
                <w:lang w:val="en-US" w:eastAsia="en-US"/>
              </w:rPr>
            </w:pPr>
          </w:p>
        </w:tc>
        <w:tc>
          <w:tcPr>
            <w:tcW w:w="575" w:type="pct"/>
            <w:gridSpan w:val="3"/>
            <w:tcBorders>
              <w:top w:val="double" w:sz="4" w:space="0" w:color="auto"/>
              <w:bottom w:val="double" w:sz="4" w:space="0" w:color="auto"/>
            </w:tcBorders>
            <w:shd w:val="clear" w:color="auto" w:fill="C0C0C0"/>
            <w:vAlign w:val="center"/>
          </w:tcPr>
          <w:p w:rsidR="00743321" w:rsidRPr="002A3EAD" w:rsidRDefault="00743321" w:rsidP="00743321">
            <w:pPr>
              <w:jc w:val="right"/>
              <w:rPr>
                <w:snapToGrid w:val="0"/>
                <w:color w:val="000000"/>
                <w:lang w:val="en-US" w:eastAsia="en-US"/>
              </w:rPr>
            </w:pPr>
          </w:p>
        </w:tc>
        <w:tc>
          <w:tcPr>
            <w:tcW w:w="809" w:type="pct"/>
            <w:gridSpan w:val="3"/>
            <w:tcBorders>
              <w:top w:val="double" w:sz="4" w:space="0" w:color="auto"/>
              <w:bottom w:val="double" w:sz="4" w:space="0" w:color="auto"/>
            </w:tcBorders>
            <w:shd w:val="clear" w:color="auto" w:fill="C0C0C0"/>
            <w:vAlign w:val="center"/>
          </w:tcPr>
          <w:p w:rsidR="00743321" w:rsidRPr="002A3EAD" w:rsidRDefault="00743321" w:rsidP="00743321">
            <w:pPr>
              <w:jc w:val="right"/>
              <w:rPr>
                <w:snapToGrid w:val="0"/>
                <w:color w:val="000000"/>
                <w:lang w:val="en-US" w:eastAsia="en-US"/>
              </w:rPr>
            </w:pPr>
          </w:p>
        </w:tc>
        <w:tc>
          <w:tcPr>
            <w:tcW w:w="842" w:type="pct"/>
            <w:tcBorders>
              <w:top w:val="double" w:sz="4" w:space="0" w:color="auto"/>
              <w:bottom w:val="double" w:sz="4" w:space="0" w:color="auto"/>
            </w:tcBorders>
            <w:shd w:val="clear" w:color="auto" w:fill="C0C0C0"/>
            <w:vAlign w:val="center"/>
          </w:tcPr>
          <w:p w:rsidR="00743321" w:rsidRPr="002A3EAD" w:rsidRDefault="00743321" w:rsidP="00743321">
            <w:pPr>
              <w:jc w:val="right"/>
              <w:rPr>
                <w:snapToGrid w:val="0"/>
                <w:color w:val="000000"/>
                <w:lang w:val="en-US" w:eastAsia="en-US"/>
              </w:rPr>
            </w:pPr>
          </w:p>
        </w:tc>
      </w:tr>
      <w:tr w:rsidR="00743321" w:rsidRPr="002A3EAD" w:rsidTr="003C176C">
        <w:trPr>
          <w:trHeight w:val="1035"/>
          <w:jc w:val="right"/>
        </w:trPr>
        <w:tc>
          <w:tcPr>
            <w:tcW w:w="1595" w:type="pct"/>
            <w:tcBorders>
              <w:top w:val="double" w:sz="4" w:space="0" w:color="auto"/>
              <w:left w:val="double" w:sz="4" w:space="0" w:color="auto"/>
              <w:bottom w:val="single" w:sz="4" w:space="0" w:color="auto"/>
              <w:right w:val="nil"/>
            </w:tcBorders>
            <w:vAlign w:val="center"/>
          </w:tcPr>
          <w:p w:rsidR="00743321" w:rsidRPr="005C43FF" w:rsidRDefault="00743321" w:rsidP="00743321">
            <w:pPr>
              <w:pStyle w:val="Footer"/>
              <w:tabs>
                <w:tab w:val="clear" w:pos="4703"/>
                <w:tab w:val="clear" w:pos="9406"/>
              </w:tabs>
              <w:jc w:val="center"/>
              <w:rPr>
                <w:b/>
              </w:rPr>
            </w:pPr>
            <w:r w:rsidRPr="005C43FF">
              <w:rPr>
                <w:b/>
              </w:rPr>
              <w:t>в хил. лева</w:t>
            </w:r>
          </w:p>
        </w:tc>
        <w:tc>
          <w:tcPr>
            <w:tcW w:w="636" w:type="pct"/>
            <w:gridSpan w:val="3"/>
            <w:tcBorders>
              <w:top w:val="double" w:sz="4" w:space="0" w:color="auto"/>
              <w:left w:val="single" w:sz="4" w:space="0" w:color="auto"/>
              <w:bottom w:val="single" w:sz="4" w:space="0" w:color="auto"/>
              <w:right w:val="single" w:sz="4" w:space="0" w:color="auto"/>
            </w:tcBorders>
            <w:vAlign w:val="center"/>
          </w:tcPr>
          <w:p w:rsidR="00743321" w:rsidRPr="005C43FF" w:rsidRDefault="00743321" w:rsidP="00743321">
            <w:pPr>
              <w:jc w:val="center"/>
              <w:rPr>
                <w:b/>
              </w:rPr>
            </w:pPr>
            <w:r w:rsidRPr="005C43FF">
              <w:rPr>
                <w:b/>
              </w:rPr>
              <w:t>отчетен период</w:t>
            </w:r>
          </w:p>
        </w:tc>
        <w:tc>
          <w:tcPr>
            <w:tcW w:w="543" w:type="pct"/>
            <w:tcBorders>
              <w:top w:val="double" w:sz="4" w:space="0" w:color="auto"/>
              <w:left w:val="nil"/>
              <w:bottom w:val="single" w:sz="4" w:space="0" w:color="auto"/>
              <w:right w:val="nil"/>
            </w:tcBorders>
            <w:vAlign w:val="center"/>
          </w:tcPr>
          <w:p w:rsidR="00743321" w:rsidRPr="005C43FF" w:rsidRDefault="00743321" w:rsidP="00743321">
            <w:pPr>
              <w:jc w:val="center"/>
              <w:rPr>
                <w:b/>
              </w:rPr>
            </w:pPr>
            <w:r w:rsidRPr="005C43FF">
              <w:rPr>
                <w:b/>
              </w:rPr>
              <w:t>ГФП  201</w:t>
            </w:r>
            <w:r>
              <w:rPr>
                <w:b/>
              </w:rPr>
              <w:t>8</w:t>
            </w:r>
            <w:r w:rsidRPr="005C43FF">
              <w:rPr>
                <w:b/>
                <w:lang w:val="en-US"/>
              </w:rPr>
              <w:t xml:space="preserve"> </w:t>
            </w:r>
            <w:r w:rsidRPr="005C43FF">
              <w:rPr>
                <w:b/>
              </w:rPr>
              <w:t>г.</w:t>
            </w:r>
          </w:p>
          <w:p w:rsidR="00743321" w:rsidRPr="005C43FF" w:rsidRDefault="00743321" w:rsidP="00743321">
            <w:pPr>
              <w:jc w:val="center"/>
              <w:rPr>
                <w:b/>
              </w:rPr>
            </w:pPr>
          </w:p>
        </w:tc>
        <w:tc>
          <w:tcPr>
            <w:tcW w:w="575" w:type="pct"/>
            <w:gridSpan w:val="3"/>
            <w:tcBorders>
              <w:top w:val="double" w:sz="4" w:space="0" w:color="auto"/>
              <w:left w:val="single" w:sz="4" w:space="0" w:color="auto"/>
              <w:bottom w:val="single" w:sz="4" w:space="0" w:color="auto"/>
              <w:right w:val="single" w:sz="4" w:space="0" w:color="auto"/>
            </w:tcBorders>
            <w:vAlign w:val="center"/>
          </w:tcPr>
          <w:p w:rsidR="00743321" w:rsidRPr="005C43FF" w:rsidRDefault="00743321" w:rsidP="00743321">
            <w:pPr>
              <w:jc w:val="center"/>
              <w:rPr>
                <w:b/>
              </w:rPr>
            </w:pPr>
            <w:r w:rsidRPr="005C43FF">
              <w:rPr>
                <w:b/>
              </w:rPr>
              <w:t>1/2</w:t>
            </w:r>
          </w:p>
          <w:p w:rsidR="00743321" w:rsidRPr="005C43FF" w:rsidRDefault="00743321" w:rsidP="00743321">
            <w:pPr>
              <w:jc w:val="center"/>
              <w:rPr>
                <w:b/>
              </w:rPr>
            </w:pPr>
            <w:r w:rsidRPr="005C43FF">
              <w:rPr>
                <w:b/>
              </w:rPr>
              <w:t>(%)</w:t>
            </w:r>
          </w:p>
        </w:tc>
        <w:tc>
          <w:tcPr>
            <w:tcW w:w="809" w:type="pct"/>
            <w:gridSpan w:val="3"/>
            <w:tcBorders>
              <w:top w:val="double" w:sz="4" w:space="0" w:color="auto"/>
              <w:left w:val="nil"/>
              <w:bottom w:val="single" w:sz="4" w:space="0" w:color="auto"/>
              <w:right w:val="nil"/>
            </w:tcBorders>
            <w:vAlign w:val="center"/>
          </w:tcPr>
          <w:p w:rsidR="00743321" w:rsidRPr="005C43FF" w:rsidRDefault="00743321" w:rsidP="00743321">
            <w:pPr>
              <w:jc w:val="center"/>
              <w:rPr>
                <w:b/>
              </w:rPr>
            </w:pPr>
            <w:r w:rsidRPr="005C43FF">
              <w:rPr>
                <w:b/>
              </w:rPr>
              <w:t>съответен период на предходна година</w:t>
            </w:r>
          </w:p>
        </w:tc>
        <w:tc>
          <w:tcPr>
            <w:tcW w:w="842" w:type="pct"/>
            <w:tcBorders>
              <w:top w:val="double" w:sz="4" w:space="0" w:color="auto"/>
              <w:left w:val="single" w:sz="4" w:space="0" w:color="auto"/>
              <w:bottom w:val="single" w:sz="4" w:space="0" w:color="auto"/>
              <w:right w:val="double" w:sz="4" w:space="0" w:color="auto"/>
            </w:tcBorders>
            <w:vAlign w:val="center"/>
          </w:tcPr>
          <w:p w:rsidR="00743321" w:rsidRPr="00E461F9" w:rsidRDefault="00743321" w:rsidP="00743321">
            <w:pPr>
              <w:jc w:val="center"/>
              <w:rPr>
                <w:b/>
              </w:rPr>
            </w:pPr>
            <w:r w:rsidRPr="00E461F9">
              <w:rPr>
                <w:b/>
              </w:rPr>
              <w:t>1/3</w:t>
            </w:r>
          </w:p>
          <w:p w:rsidR="00743321" w:rsidRPr="00E461F9" w:rsidRDefault="00743321" w:rsidP="00743321">
            <w:pPr>
              <w:jc w:val="center"/>
              <w:rPr>
                <w:b/>
              </w:rPr>
            </w:pPr>
            <w:r w:rsidRPr="00E461F9">
              <w:rPr>
                <w:b/>
              </w:rPr>
              <w:t>(%)</w:t>
            </w:r>
          </w:p>
        </w:tc>
      </w:tr>
      <w:tr w:rsidR="003C176C" w:rsidRPr="002B59A9" w:rsidTr="003C176C">
        <w:trPr>
          <w:trHeight w:val="330"/>
          <w:jc w:val="right"/>
        </w:trPr>
        <w:tc>
          <w:tcPr>
            <w:tcW w:w="1595" w:type="pct"/>
            <w:tcBorders>
              <w:top w:val="single" w:sz="4" w:space="0" w:color="auto"/>
              <w:left w:val="double" w:sz="4" w:space="0" w:color="auto"/>
              <w:bottom w:val="single" w:sz="4" w:space="0" w:color="auto"/>
              <w:right w:val="nil"/>
            </w:tcBorders>
            <w:vAlign w:val="center"/>
          </w:tcPr>
          <w:p w:rsidR="003C176C" w:rsidRPr="002B59A9" w:rsidRDefault="003C176C" w:rsidP="003C176C">
            <w:r w:rsidRPr="002B59A9">
              <w:t>Изменение на паричните наличности през периода</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rPr>
                <w:lang w:eastAsia="bg-BG"/>
              </w:rPr>
            </w:pPr>
            <w:r w:rsidRPr="003C176C">
              <w:t>-5,846</w:t>
            </w:r>
          </w:p>
        </w:tc>
        <w:tc>
          <w:tcPr>
            <w:tcW w:w="543" w:type="pct"/>
            <w:tcBorders>
              <w:top w:val="single" w:sz="4" w:space="0" w:color="auto"/>
              <w:left w:val="nil"/>
              <w:bottom w:val="single" w:sz="4" w:space="0" w:color="auto"/>
              <w:right w:val="single" w:sz="4" w:space="0" w:color="auto"/>
            </w:tcBorders>
            <w:shd w:val="clear" w:color="auto" w:fill="auto"/>
            <w:vAlign w:val="bottom"/>
          </w:tcPr>
          <w:p w:rsidR="003C176C" w:rsidRPr="003C176C" w:rsidRDefault="003C176C" w:rsidP="003C176C">
            <w:pPr>
              <w:jc w:val="right"/>
            </w:pPr>
            <w:r w:rsidRPr="003C176C">
              <w:t>-21,991</w:t>
            </w:r>
          </w:p>
        </w:tc>
        <w:tc>
          <w:tcPr>
            <w:tcW w:w="575" w:type="pct"/>
            <w:gridSpan w:val="3"/>
            <w:tcBorders>
              <w:top w:val="single" w:sz="4" w:space="0" w:color="auto"/>
              <w:left w:val="nil"/>
              <w:bottom w:val="single" w:sz="4" w:space="0" w:color="auto"/>
              <w:right w:val="nil"/>
            </w:tcBorders>
            <w:shd w:val="clear" w:color="auto" w:fill="auto"/>
            <w:vAlign w:val="bottom"/>
          </w:tcPr>
          <w:p w:rsidR="003C176C" w:rsidRPr="003C176C" w:rsidRDefault="003C176C" w:rsidP="003C176C">
            <w:pPr>
              <w:jc w:val="right"/>
            </w:pPr>
          </w:p>
        </w:tc>
        <w:tc>
          <w:tcPr>
            <w:tcW w:w="809"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-10,944</w:t>
            </w:r>
          </w:p>
        </w:tc>
        <w:tc>
          <w:tcPr>
            <w:tcW w:w="842" w:type="pct"/>
            <w:tcBorders>
              <w:top w:val="single" w:sz="4" w:space="0" w:color="auto"/>
              <w:left w:val="nil"/>
              <w:bottom w:val="single" w:sz="4" w:space="0" w:color="auto"/>
              <w:right w:val="double" w:sz="4" w:space="0" w:color="auto"/>
            </w:tcBorders>
            <w:shd w:val="clear" w:color="auto" w:fill="auto"/>
            <w:vAlign w:val="bottom"/>
          </w:tcPr>
          <w:p w:rsidR="003C176C" w:rsidRPr="003C176C" w:rsidRDefault="003C176C" w:rsidP="003C176C">
            <w:pPr>
              <w:jc w:val="right"/>
            </w:pPr>
          </w:p>
        </w:tc>
      </w:tr>
      <w:tr w:rsidR="003C176C" w:rsidRPr="002B59A9" w:rsidTr="003C176C">
        <w:trPr>
          <w:trHeight w:val="315"/>
          <w:jc w:val="right"/>
        </w:trPr>
        <w:tc>
          <w:tcPr>
            <w:tcW w:w="1595" w:type="pct"/>
            <w:tcBorders>
              <w:top w:val="single" w:sz="4" w:space="0" w:color="auto"/>
              <w:left w:val="double" w:sz="4" w:space="0" w:color="auto"/>
              <w:bottom w:val="single" w:sz="4" w:space="0" w:color="auto"/>
              <w:right w:val="single" w:sz="4" w:space="0" w:color="auto"/>
            </w:tcBorders>
            <w:vAlign w:val="center"/>
          </w:tcPr>
          <w:p w:rsidR="003C176C" w:rsidRPr="002B59A9" w:rsidRDefault="003C176C" w:rsidP="003C176C">
            <w:r w:rsidRPr="002B59A9">
              <w:t>Нетен паричен поток от основна дейност</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20,901</w:t>
            </w:r>
          </w:p>
        </w:tc>
        <w:tc>
          <w:tcPr>
            <w:tcW w:w="543" w:type="pct"/>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17,376</w:t>
            </w:r>
          </w:p>
        </w:tc>
        <w:tc>
          <w:tcPr>
            <w:tcW w:w="575"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20.3%</w:t>
            </w:r>
          </w:p>
        </w:tc>
        <w:tc>
          <w:tcPr>
            <w:tcW w:w="809"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11,804</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3C176C" w:rsidRPr="003C176C" w:rsidRDefault="003C176C" w:rsidP="003C176C">
            <w:pPr>
              <w:jc w:val="right"/>
            </w:pPr>
            <w:r w:rsidRPr="003C176C">
              <w:t>77.1%</w:t>
            </w:r>
          </w:p>
        </w:tc>
      </w:tr>
      <w:tr w:rsidR="003C176C" w:rsidRPr="002B59A9" w:rsidTr="003C176C">
        <w:trPr>
          <w:trHeight w:val="315"/>
          <w:jc w:val="right"/>
        </w:trPr>
        <w:tc>
          <w:tcPr>
            <w:tcW w:w="1595" w:type="pct"/>
            <w:tcBorders>
              <w:top w:val="single" w:sz="4" w:space="0" w:color="auto"/>
              <w:left w:val="double" w:sz="4" w:space="0" w:color="auto"/>
              <w:bottom w:val="single" w:sz="4" w:space="0" w:color="auto"/>
              <w:right w:val="single" w:sz="4" w:space="0" w:color="auto"/>
            </w:tcBorders>
            <w:vAlign w:val="center"/>
          </w:tcPr>
          <w:p w:rsidR="003C176C" w:rsidRPr="002B59A9" w:rsidRDefault="003C176C" w:rsidP="003C176C">
            <w:r w:rsidRPr="002B59A9">
              <w:t>Нетен паричен поток от инвестиционна дейност</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-12,874</w:t>
            </w:r>
          </w:p>
        </w:tc>
        <w:tc>
          <w:tcPr>
            <w:tcW w:w="543" w:type="pct"/>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-25,494</w:t>
            </w:r>
          </w:p>
        </w:tc>
        <w:tc>
          <w:tcPr>
            <w:tcW w:w="575"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p>
        </w:tc>
        <w:tc>
          <w:tcPr>
            <w:tcW w:w="809"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-13,430</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3C176C" w:rsidRPr="003C176C" w:rsidRDefault="003C176C" w:rsidP="003C176C">
            <w:pPr>
              <w:jc w:val="right"/>
            </w:pPr>
          </w:p>
        </w:tc>
      </w:tr>
      <w:tr w:rsidR="003C176C" w:rsidRPr="002B59A9" w:rsidTr="003C176C">
        <w:trPr>
          <w:trHeight w:val="315"/>
          <w:jc w:val="right"/>
        </w:trPr>
        <w:tc>
          <w:tcPr>
            <w:tcW w:w="1595" w:type="pct"/>
            <w:tcBorders>
              <w:top w:val="single" w:sz="4" w:space="0" w:color="auto"/>
              <w:left w:val="double" w:sz="4" w:space="0" w:color="auto"/>
              <w:bottom w:val="double" w:sz="4" w:space="0" w:color="auto"/>
              <w:right w:val="single" w:sz="4" w:space="0" w:color="auto"/>
            </w:tcBorders>
            <w:vAlign w:val="center"/>
          </w:tcPr>
          <w:p w:rsidR="003C176C" w:rsidRPr="002B59A9" w:rsidRDefault="003C176C" w:rsidP="003C176C">
            <w:r w:rsidRPr="002B59A9">
              <w:t>Нетен паричен поток от финансова дейност</w:t>
            </w:r>
          </w:p>
        </w:tc>
        <w:tc>
          <w:tcPr>
            <w:tcW w:w="636" w:type="pct"/>
            <w:gridSpan w:val="3"/>
            <w:tcBorders>
              <w:top w:val="single" w:sz="4" w:space="0" w:color="auto"/>
              <w:left w:val="single" w:sz="4" w:space="0" w:color="auto"/>
              <w:bottom w:val="double" w:sz="4" w:space="0" w:color="auto"/>
              <w:right w:val="single" w:sz="4" w:space="0" w:color="auto"/>
            </w:tcBorders>
            <w:shd w:val="clear" w:color="auto" w:fill="auto"/>
            <w:vAlign w:val="bottom"/>
          </w:tcPr>
          <w:p w:rsidR="003C176C" w:rsidRPr="003C176C" w:rsidRDefault="003C176C" w:rsidP="003C176C">
            <w:pPr>
              <w:jc w:val="right"/>
            </w:pPr>
            <w:r w:rsidRPr="003C176C">
              <w:t>-13,873</w:t>
            </w:r>
          </w:p>
        </w:tc>
        <w:tc>
          <w:tcPr>
            <w:tcW w:w="543" w:type="pct"/>
            <w:tcBorders>
              <w:top w:val="single" w:sz="4" w:space="0" w:color="auto"/>
              <w:left w:val="single" w:sz="4" w:space="0" w:color="auto"/>
              <w:bottom w:val="double" w:sz="4" w:space="0" w:color="auto"/>
              <w:right w:val="single" w:sz="4" w:space="0" w:color="auto"/>
            </w:tcBorders>
            <w:shd w:val="clear" w:color="auto" w:fill="auto"/>
            <w:vAlign w:val="bottom"/>
          </w:tcPr>
          <w:p w:rsidR="003C176C" w:rsidRPr="003C176C" w:rsidRDefault="003C176C" w:rsidP="003C176C">
            <w:pPr>
              <w:jc w:val="right"/>
            </w:pPr>
            <w:r w:rsidRPr="003C176C">
              <w:t>-13,873</w:t>
            </w:r>
          </w:p>
        </w:tc>
        <w:tc>
          <w:tcPr>
            <w:tcW w:w="575" w:type="pct"/>
            <w:gridSpan w:val="3"/>
            <w:tcBorders>
              <w:top w:val="single" w:sz="4" w:space="0" w:color="auto"/>
              <w:left w:val="single" w:sz="4" w:space="0" w:color="auto"/>
              <w:bottom w:val="double" w:sz="4" w:space="0" w:color="auto"/>
              <w:right w:val="single" w:sz="4" w:space="0" w:color="auto"/>
            </w:tcBorders>
            <w:shd w:val="clear" w:color="auto" w:fill="auto"/>
            <w:vAlign w:val="bottom"/>
          </w:tcPr>
          <w:p w:rsidR="003C176C" w:rsidRPr="003C176C" w:rsidRDefault="003C176C" w:rsidP="003C176C">
            <w:pPr>
              <w:jc w:val="right"/>
            </w:pPr>
          </w:p>
        </w:tc>
        <w:tc>
          <w:tcPr>
            <w:tcW w:w="809" w:type="pct"/>
            <w:gridSpan w:val="3"/>
            <w:tcBorders>
              <w:top w:val="single" w:sz="4" w:space="0" w:color="auto"/>
              <w:left w:val="single" w:sz="4" w:space="0" w:color="auto"/>
              <w:bottom w:val="double" w:sz="4" w:space="0" w:color="auto"/>
              <w:right w:val="single" w:sz="4" w:space="0" w:color="auto"/>
            </w:tcBorders>
            <w:shd w:val="clear" w:color="auto" w:fill="auto"/>
            <w:vAlign w:val="bottom"/>
          </w:tcPr>
          <w:p w:rsidR="003C176C" w:rsidRPr="003C176C" w:rsidRDefault="003C176C" w:rsidP="003C176C">
            <w:pPr>
              <w:jc w:val="right"/>
            </w:pPr>
            <w:r w:rsidRPr="003C176C">
              <w:t>-9,318</w:t>
            </w:r>
          </w:p>
        </w:tc>
        <w:tc>
          <w:tcPr>
            <w:tcW w:w="842" w:type="pct"/>
            <w:tcBorders>
              <w:top w:val="single" w:sz="4" w:space="0" w:color="auto"/>
              <w:left w:val="single" w:sz="4" w:space="0" w:color="auto"/>
              <w:bottom w:val="double" w:sz="4" w:space="0" w:color="auto"/>
              <w:right w:val="double" w:sz="4" w:space="0" w:color="auto"/>
            </w:tcBorders>
            <w:shd w:val="clear" w:color="auto" w:fill="auto"/>
            <w:vAlign w:val="bottom"/>
          </w:tcPr>
          <w:p w:rsidR="003C176C" w:rsidRPr="003C176C" w:rsidRDefault="003C176C" w:rsidP="003C176C">
            <w:pPr>
              <w:jc w:val="right"/>
            </w:pPr>
          </w:p>
        </w:tc>
      </w:tr>
      <w:tr w:rsidR="003C176C" w:rsidRPr="002A3EAD" w:rsidTr="003C176C">
        <w:trPr>
          <w:trHeight w:val="96"/>
          <w:jc w:val="right"/>
        </w:trPr>
        <w:tc>
          <w:tcPr>
            <w:tcW w:w="1595" w:type="pct"/>
            <w:tcBorders>
              <w:top w:val="double" w:sz="4" w:space="0" w:color="auto"/>
              <w:left w:val="double" w:sz="4" w:space="0" w:color="auto"/>
              <w:bottom w:val="double" w:sz="4" w:space="0" w:color="auto"/>
            </w:tcBorders>
            <w:shd w:val="clear" w:color="auto" w:fill="C0C0C0"/>
            <w:vAlign w:val="center"/>
          </w:tcPr>
          <w:p w:rsidR="003C176C" w:rsidRPr="002A3EAD" w:rsidRDefault="003C176C" w:rsidP="003C176C">
            <w:pPr>
              <w:rPr>
                <w:b/>
              </w:rPr>
            </w:pPr>
          </w:p>
        </w:tc>
        <w:tc>
          <w:tcPr>
            <w:tcW w:w="636" w:type="pct"/>
            <w:gridSpan w:val="3"/>
            <w:tcBorders>
              <w:top w:val="double" w:sz="4" w:space="0" w:color="auto"/>
              <w:bottom w:val="double" w:sz="4" w:space="0" w:color="auto"/>
            </w:tcBorders>
            <w:shd w:val="clear" w:color="auto" w:fill="C0C0C0"/>
            <w:vAlign w:val="center"/>
          </w:tcPr>
          <w:p w:rsidR="003C176C" w:rsidRPr="002A3EAD" w:rsidRDefault="003C176C" w:rsidP="003C176C">
            <w:pPr>
              <w:jc w:val="right"/>
              <w:rPr>
                <w:b/>
              </w:rPr>
            </w:pPr>
            <w:r w:rsidRPr="002A3EAD">
              <w:rPr>
                <w:b/>
              </w:rPr>
              <w:t> </w:t>
            </w:r>
          </w:p>
        </w:tc>
        <w:tc>
          <w:tcPr>
            <w:tcW w:w="543" w:type="pct"/>
            <w:tcBorders>
              <w:top w:val="double" w:sz="4" w:space="0" w:color="auto"/>
              <w:bottom w:val="double" w:sz="4" w:space="0" w:color="auto"/>
            </w:tcBorders>
            <w:shd w:val="clear" w:color="auto" w:fill="C0C0C0"/>
            <w:vAlign w:val="center"/>
          </w:tcPr>
          <w:p w:rsidR="003C176C" w:rsidRPr="002A3EAD" w:rsidRDefault="003C176C" w:rsidP="003C176C">
            <w:pPr>
              <w:jc w:val="right"/>
              <w:rPr>
                <w:b/>
              </w:rPr>
            </w:pPr>
            <w:r w:rsidRPr="002A3EAD">
              <w:rPr>
                <w:b/>
              </w:rPr>
              <w:t> </w:t>
            </w:r>
          </w:p>
        </w:tc>
        <w:tc>
          <w:tcPr>
            <w:tcW w:w="575" w:type="pct"/>
            <w:gridSpan w:val="3"/>
            <w:tcBorders>
              <w:top w:val="double" w:sz="4" w:space="0" w:color="auto"/>
              <w:bottom w:val="double" w:sz="4" w:space="0" w:color="auto"/>
            </w:tcBorders>
            <w:shd w:val="clear" w:color="auto" w:fill="C0C0C0"/>
            <w:vAlign w:val="center"/>
          </w:tcPr>
          <w:p w:rsidR="003C176C" w:rsidRPr="002A3EAD" w:rsidRDefault="003C176C" w:rsidP="003C176C">
            <w:pPr>
              <w:pStyle w:val="FootnoteText"/>
              <w:jc w:val="right"/>
              <w:rPr>
                <w:b/>
                <w:sz w:val="24"/>
                <w:szCs w:val="24"/>
              </w:rPr>
            </w:pPr>
            <w:r w:rsidRPr="002A3EAD">
              <w:rPr>
                <w:b/>
                <w:sz w:val="24"/>
                <w:szCs w:val="24"/>
              </w:rPr>
              <w:t> </w:t>
            </w:r>
          </w:p>
        </w:tc>
        <w:tc>
          <w:tcPr>
            <w:tcW w:w="809" w:type="pct"/>
            <w:gridSpan w:val="3"/>
            <w:tcBorders>
              <w:top w:val="double" w:sz="4" w:space="0" w:color="auto"/>
              <w:bottom w:val="double" w:sz="4" w:space="0" w:color="auto"/>
            </w:tcBorders>
            <w:shd w:val="clear" w:color="auto" w:fill="C0C0C0"/>
            <w:vAlign w:val="center"/>
          </w:tcPr>
          <w:p w:rsidR="003C176C" w:rsidRPr="002A3EAD" w:rsidRDefault="003C176C" w:rsidP="003C176C">
            <w:pPr>
              <w:jc w:val="right"/>
              <w:rPr>
                <w:b/>
              </w:rPr>
            </w:pPr>
            <w:r w:rsidRPr="002A3EAD">
              <w:rPr>
                <w:b/>
              </w:rPr>
              <w:t> </w:t>
            </w:r>
          </w:p>
        </w:tc>
        <w:tc>
          <w:tcPr>
            <w:tcW w:w="842" w:type="pct"/>
            <w:tcBorders>
              <w:top w:val="double" w:sz="4" w:space="0" w:color="auto"/>
              <w:bottom w:val="double" w:sz="4" w:space="0" w:color="auto"/>
              <w:right w:val="double" w:sz="4" w:space="0" w:color="auto"/>
            </w:tcBorders>
            <w:shd w:val="clear" w:color="auto" w:fill="C0C0C0"/>
            <w:vAlign w:val="center"/>
          </w:tcPr>
          <w:p w:rsidR="003C176C" w:rsidRPr="002A3EAD" w:rsidRDefault="003C176C" w:rsidP="003C176C">
            <w:pPr>
              <w:jc w:val="right"/>
              <w:rPr>
                <w:b/>
              </w:rPr>
            </w:pPr>
          </w:p>
        </w:tc>
      </w:tr>
      <w:tr w:rsidR="003C176C" w:rsidRPr="005E0820" w:rsidTr="003C176C">
        <w:trPr>
          <w:trHeight w:val="540"/>
          <w:jc w:val="right"/>
        </w:trPr>
        <w:tc>
          <w:tcPr>
            <w:tcW w:w="1595" w:type="pct"/>
            <w:tcBorders>
              <w:top w:val="double" w:sz="4" w:space="0" w:color="auto"/>
              <w:left w:val="double" w:sz="4" w:space="0" w:color="auto"/>
              <w:bottom w:val="single" w:sz="4" w:space="0" w:color="auto"/>
              <w:right w:val="nil"/>
            </w:tcBorders>
            <w:vAlign w:val="center"/>
          </w:tcPr>
          <w:p w:rsidR="003C176C" w:rsidRPr="00E461F9" w:rsidRDefault="003C176C" w:rsidP="003C176C">
            <w:pPr>
              <w:jc w:val="center"/>
              <w:rPr>
                <w:b/>
              </w:rPr>
            </w:pPr>
            <w:r w:rsidRPr="00E461F9">
              <w:rPr>
                <w:b/>
              </w:rPr>
              <w:t>в хил. лева</w:t>
            </w:r>
          </w:p>
        </w:tc>
        <w:tc>
          <w:tcPr>
            <w:tcW w:w="636" w:type="pct"/>
            <w:gridSpan w:val="3"/>
            <w:tcBorders>
              <w:top w:val="double" w:sz="4" w:space="0" w:color="auto"/>
              <w:left w:val="single" w:sz="4" w:space="0" w:color="auto"/>
              <w:bottom w:val="single" w:sz="4" w:space="0" w:color="auto"/>
              <w:right w:val="single" w:sz="4" w:space="0" w:color="auto"/>
            </w:tcBorders>
            <w:vAlign w:val="center"/>
          </w:tcPr>
          <w:p w:rsidR="003C176C" w:rsidRPr="00E461F9" w:rsidRDefault="003C176C" w:rsidP="003C176C">
            <w:pPr>
              <w:jc w:val="center"/>
              <w:rPr>
                <w:b/>
              </w:rPr>
            </w:pPr>
            <w:r w:rsidRPr="00E461F9">
              <w:rPr>
                <w:b/>
              </w:rPr>
              <w:t>отчетен период</w:t>
            </w:r>
          </w:p>
        </w:tc>
        <w:tc>
          <w:tcPr>
            <w:tcW w:w="543" w:type="pct"/>
            <w:tcBorders>
              <w:top w:val="double" w:sz="4" w:space="0" w:color="auto"/>
              <w:left w:val="nil"/>
              <w:bottom w:val="single" w:sz="4" w:space="0" w:color="auto"/>
              <w:right w:val="nil"/>
            </w:tcBorders>
            <w:shd w:val="clear" w:color="auto" w:fill="auto"/>
            <w:vAlign w:val="center"/>
          </w:tcPr>
          <w:p w:rsidR="003C176C" w:rsidRPr="00E461F9" w:rsidRDefault="003C176C" w:rsidP="003C176C">
            <w:pPr>
              <w:jc w:val="right"/>
              <w:rPr>
                <w:b/>
              </w:rPr>
            </w:pPr>
          </w:p>
        </w:tc>
        <w:tc>
          <w:tcPr>
            <w:tcW w:w="575" w:type="pct"/>
            <w:gridSpan w:val="3"/>
            <w:tcBorders>
              <w:top w:val="double" w:sz="4" w:space="0" w:color="auto"/>
              <w:left w:val="single" w:sz="4" w:space="0" w:color="auto"/>
              <w:bottom w:val="single" w:sz="4" w:space="0" w:color="auto"/>
              <w:right w:val="single" w:sz="4" w:space="0" w:color="auto"/>
            </w:tcBorders>
            <w:shd w:val="clear" w:color="auto" w:fill="auto"/>
            <w:vAlign w:val="center"/>
          </w:tcPr>
          <w:p w:rsidR="003C176C" w:rsidRPr="00E461F9" w:rsidRDefault="003C176C" w:rsidP="003C176C">
            <w:pPr>
              <w:jc w:val="right"/>
              <w:rPr>
                <w:b/>
              </w:rPr>
            </w:pPr>
          </w:p>
        </w:tc>
        <w:tc>
          <w:tcPr>
            <w:tcW w:w="809" w:type="pct"/>
            <w:gridSpan w:val="3"/>
            <w:tcBorders>
              <w:top w:val="double" w:sz="4" w:space="0" w:color="auto"/>
              <w:left w:val="nil"/>
              <w:bottom w:val="single" w:sz="4" w:space="0" w:color="auto"/>
              <w:right w:val="nil"/>
            </w:tcBorders>
            <w:vAlign w:val="center"/>
          </w:tcPr>
          <w:p w:rsidR="003C176C" w:rsidRPr="00E461F9" w:rsidRDefault="003C176C" w:rsidP="003C176C">
            <w:pPr>
              <w:jc w:val="center"/>
              <w:rPr>
                <w:b/>
              </w:rPr>
            </w:pPr>
            <w:r w:rsidRPr="00E461F9">
              <w:rPr>
                <w:b/>
                <w:lang w:val="en-US"/>
              </w:rPr>
              <w:t>31</w:t>
            </w:r>
            <w:r w:rsidRPr="00E461F9">
              <w:rPr>
                <w:b/>
              </w:rPr>
              <w:t>.</w:t>
            </w:r>
            <w:r w:rsidRPr="00E461F9">
              <w:rPr>
                <w:b/>
                <w:lang w:val="en-US"/>
              </w:rPr>
              <w:t>12</w:t>
            </w:r>
            <w:r w:rsidRPr="00E461F9">
              <w:rPr>
                <w:b/>
              </w:rPr>
              <w:t>.20</w:t>
            </w:r>
            <w:r>
              <w:rPr>
                <w:b/>
                <w:lang w:val="en-US"/>
              </w:rPr>
              <w:t xml:space="preserve">17 </w:t>
            </w:r>
            <w:r w:rsidRPr="00E461F9">
              <w:rPr>
                <w:b/>
              </w:rPr>
              <w:t>г.</w:t>
            </w:r>
          </w:p>
        </w:tc>
        <w:tc>
          <w:tcPr>
            <w:tcW w:w="842" w:type="pct"/>
            <w:tcBorders>
              <w:top w:val="double" w:sz="4" w:space="0" w:color="auto"/>
              <w:left w:val="single" w:sz="4" w:space="0" w:color="auto"/>
              <w:bottom w:val="single" w:sz="4" w:space="0" w:color="auto"/>
              <w:right w:val="double" w:sz="4" w:space="0" w:color="auto"/>
            </w:tcBorders>
            <w:vAlign w:val="center"/>
          </w:tcPr>
          <w:p w:rsidR="003C176C" w:rsidRPr="00E461F9" w:rsidRDefault="003C176C" w:rsidP="003C176C">
            <w:pPr>
              <w:jc w:val="center"/>
              <w:rPr>
                <w:b/>
              </w:rPr>
            </w:pPr>
            <w:r w:rsidRPr="00E461F9">
              <w:rPr>
                <w:b/>
              </w:rPr>
              <w:t>1/3</w:t>
            </w:r>
          </w:p>
          <w:p w:rsidR="003C176C" w:rsidRPr="00E461F9" w:rsidRDefault="003C176C" w:rsidP="003C176C">
            <w:pPr>
              <w:jc w:val="center"/>
              <w:rPr>
                <w:b/>
              </w:rPr>
            </w:pPr>
            <w:r w:rsidRPr="00E461F9">
              <w:rPr>
                <w:b/>
              </w:rPr>
              <w:t>(%)</w:t>
            </w:r>
          </w:p>
        </w:tc>
      </w:tr>
      <w:tr w:rsidR="003C176C" w:rsidRPr="00675837" w:rsidTr="003C176C">
        <w:trPr>
          <w:trHeight w:val="330"/>
          <w:jc w:val="right"/>
        </w:trPr>
        <w:tc>
          <w:tcPr>
            <w:tcW w:w="1595" w:type="pct"/>
            <w:tcBorders>
              <w:top w:val="single" w:sz="4" w:space="0" w:color="auto"/>
              <w:left w:val="double" w:sz="4" w:space="0" w:color="auto"/>
              <w:bottom w:val="single" w:sz="4" w:space="0" w:color="auto"/>
              <w:right w:val="single" w:sz="4" w:space="0" w:color="auto"/>
            </w:tcBorders>
            <w:vAlign w:val="center"/>
          </w:tcPr>
          <w:p w:rsidR="003C176C" w:rsidRPr="00E461F9" w:rsidRDefault="003C176C" w:rsidP="003C176C">
            <w:pPr>
              <w:rPr>
                <w:snapToGrid w:val="0"/>
                <w:lang w:eastAsia="en-US"/>
              </w:rPr>
            </w:pPr>
            <w:r w:rsidRPr="00E461F9">
              <w:rPr>
                <w:snapToGrid w:val="0"/>
                <w:lang w:eastAsia="en-US"/>
              </w:rPr>
              <w:t>Текущи активи</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rPr>
                <w:lang w:eastAsia="bg-BG"/>
              </w:rPr>
            </w:pPr>
            <w:r w:rsidRPr="003C176C">
              <w:t>202,421</w:t>
            </w:r>
          </w:p>
        </w:tc>
        <w:tc>
          <w:tcPr>
            <w:tcW w:w="543" w:type="pct"/>
            <w:tcBorders>
              <w:top w:val="single" w:sz="4" w:space="0" w:color="auto"/>
              <w:left w:val="nil"/>
              <w:bottom w:val="single" w:sz="4" w:space="0" w:color="auto"/>
              <w:right w:val="nil"/>
            </w:tcBorders>
            <w:shd w:val="clear" w:color="000000" w:fill="C0C0C0"/>
            <w:vAlign w:val="bottom"/>
          </w:tcPr>
          <w:p w:rsidR="003C176C" w:rsidRPr="003C176C" w:rsidRDefault="003C176C" w:rsidP="003C176C">
            <w:r w:rsidRPr="003C176C">
              <w:t> </w:t>
            </w:r>
          </w:p>
        </w:tc>
        <w:tc>
          <w:tcPr>
            <w:tcW w:w="575" w:type="pct"/>
            <w:gridSpan w:val="3"/>
            <w:tcBorders>
              <w:top w:val="single" w:sz="4" w:space="0" w:color="auto"/>
              <w:left w:val="single" w:sz="4" w:space="0" w:color="auto"/>
              <w:bottom w:val="single" w:sz="4" w:space="0" w:color="auto"/>
              <w:right w:val="single" w:sz="4" w:space="0" w:color="auto"/>
            </w:tcBorders>
            <w:shd w:val="clear" w:color="000000" w:fill="C0C0C0"/>
            <w:vAlign w:val="bottom"/>
          </w:tcPr>
          <w:p w:rsidR="003C176C" w:rsidRPr="003C176C" w:rsidRDefault="003C176C" w:rsidP="003C176C">
            <w:r w:rsidRPr="003C176C">
              <w:t> </w:t>
            </w:r>
          </w:p>
        </w:tc>
        <w:tc>
          <w:tcPr>
            <w:tcW w:w="809" w:type="pct"/>
            <w:gridSpan w:val="3"/>
            <w:tcBorders>
              <w:top w:val="single" w:sz="4" w:space="0" w:color="auto"/>
              <w:left w:val="nil"/>
              <w:bottom w:val="single" w:sz="4" w:space="0" w:color="auto"/>
              <w:right w:val="nil"/>
            </w:tcBorders>
            <w:shd w:val="clear" w:color="auto" w:fill="auto"/>
            <w:vAlign w:val="bottom"/>
          </w:tcPr>
          <w:p w:rsidR="003C176C" w:rsidRPr="003C176C" w:rsidRDefault="003C176C" w:rsidP="003C176C">
            <w:pPr>
              <w:jc w:val="right"/>
            </w:pPr>
            <w:r w:rsidRPr="003C176C">
              <w:t>201,945</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3C176C" w:rsidRPr="003C176C" w:rsidRDefault="003C176C" w:rsidP="003C176C">
            <w:pPr>
              <w:jc w:val="right"/>
            </w:pPr>
            <w:r w:rsidRPr="003C176C">
              <w:t>0.2%</w:t>
            </w:r>
          </w:p>
        </w:tc>
      </w:tr>
      <w:tr w:rsidR="003C176C" w:rsidRPr="00675837" w:rsidTr="003C176C">
        <w:trPr>
          <w:trHeight w:val="315"/>
          <w:jc w:val="right"/>
        </w:trPr>
        <w:tc>
          <w:tcPr>
            <w:tcW w:w="1595" w:type="pct"/>
            <w:tcBorders>
              <w:top w:val="single" w:sz="4" w:space="0" w:color="auto"/>
              <w:left w:val="double" w:sz="4" w:space="0" w:color="auto"/>
              <w:bottom w:val="single" w:sz="4" w:space="0" w:color="auto"/>
              <w:right w:val="single" w:sz="4" w:space="0" w:color="auto"/>
            </w:tcBorders>
            <w:vAlign w:val="center"/>
          </w:tcPr>
          <w:p w:rsidR="003C176C" w:rsidRPr="00E461F9" w:rsidRDefault="003C176C" w:rsidP="003C176C">
            <w:pPr>
              <w:rPr>
                <w:snapToGrid w:val="0"/>
                <w:lang w:eastAsia="en-US"/>
              </w:rPr>
            </w:pPr>
            <w:r w:rsidRPr="00E461F9">
              <w:rPr>
                <w:snapToGrid w:val="0"/>
                <w:lang w:eastAsia="en-US"/>
              </w:rPr>
              <w:t>Текущи пасиви</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45,441</w:t>
            </w:r>
          </w:p>
        </w:tc>
        <w:tc>
          <w:tcPr>
            <w:tcW w:w="543" w:type="pct"/>
            <w:tcBorders>
              <w:top w:val="single" w:sz="4" w:space="0" w:color="auto"/>
              <w:left w:val="nil"/>
              <w:bottom w:val="single" w:sz="4" w:space="0" w:color="auto"/>
              <w:right w:val="nil"/>
            </w:tcBorders>
            <w:shd w:val="clear" w:color="000000" w:fill="C0C0C0"/>
            <w:vAlign w:val="bottom"/>
          </w:tcPr>
          <w:p w:rsidR="003C176C" w:rsidRPr="003C176C" w:rsidRDefault="003C176C" w:rsidP="003C176C">
            <w:r w:rsidRPr="003C176C">
              <w:t> </w:t>
            </w:r>
          </w:p>
        </w:tc>
        <w:tc>
          <w:tcPr>
            <w:tcW w:w="575" w:type="pct"/>
            <w:gridSpan w:val="3"/>
            <w:tcBorders>
              <w:top w:val="single" w:sz="4" w:space="0" w:color="auto"/>
              <w:left w:val="single" w:sz="4" w:space="0" w:color="auto"/>
              <w:bottom w:val="single" w:sz="4" w:space="0" w:color="auto"/>
              <w:right w:val="single" w:sz="4" w:space="0" w:color="auto"/>
            </w:tcBorders>
            <w:shd w:val="clear" w:color="000000" w:fill="C0C0C0"/>
            <w:vAlign w:val="bottom"/>
          </w:tcPr>
          <w:p w:rsidR="003C176C" w:rsidRPr="003C176C" w:rsidRDefault="003C176C" w:rsidP="003C176C">
            <w:r w:rsidRPr="003C176C">
              <w:t> </w:t>
            </w:r>
          </w:p>
        </w:tc>
        <w:tc>
          <w:tcPr>
            <w:tcW w:w="809" w:type="pct"/>
            <w:gridSpan w:val="3"/>
            <w:tcBorders>
              <w:top w:val="single" w:sz="4" w:space="0" w:color="auto"/>
              <w:left w:val="nil"/>
              <w:bottom w:val="single" w:sz="4" w:space="0" w:color="auto"/>
              <w:right w:val="nil"/>
            </w:tcBorders>
            <w:shd w:val="clear" w:color="auto" w:fill="auto"/>
            <w:vAlign w:val="bottom"/>
          </w:tcPr>
          <w:p w:rsidR="003C176C" w:rsidRPr="003C176C" w:rsidRDefault="003C176C" w:rsidP="003C176C">
            <w:pPr>
              <w:jc w:val="right"/>
            </w:pPr>
            <w:r w:rsidRPr="003C176C">
              <w:t>74,929</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3C176C" w:rsidRPr="003C176C" w:rsidRDefault="003C176C" w:rsidP="003C176C">
            <w:pPr>
              <w:jc w:val="right"/>
            </w:pPr>
            <w:r w:rsidRPr="003C176C">
              <w:t>-39.4%</w:t>
            </w:r>
          </w:p>
        </w:tc>
      </w:tr>
      <w:tr w:rsidR="003C176C" w:rsidRPr="00675837" w:rsidTr="003C176C">
        <w:trPr>
          <w:trHeight w:val="315"/>
          <w:jc w:val="right"/>
        </w:trPr>
        <w:tc>
          <w:tcPr>
            <w:tcW w:w="1595" w:type="pct"/>
            <w:tcBorders>
              <w:top w:val="single" w:sz="4" w:space="0" w:color="auto"/>
              <w:left w:val="double" w:sz="4" w:space="0" w:color="auto"/>
              <w:bottom w:val="single" w:sz="4" w:space="0" w:color="auto"/>
              <w:right w:val="single" w:sz="4" w:space="0" w:color="auto"/>
            </w:tcBorders>
            <w:vAlign w:val="center"/>
          </w:tcPr>
          <w:p w:rsidR="003C176C" w:rsidRPr="00E461F9" w:rsidRDefault="003C176C" w:rsidP="003C176C">
            <w:pPr>
              <w:rPr>
                <w:snapToGrid w:val="0"/>
                <w:lang w:val="en-US" w:eastAsia="en-US"/>
              </w:rPr>
            </w:pPr>
            <w:r w:rsidRPr="00E461F9">
              <w:rPr>
                <w:snapToGrid w:val="0"/>
                <w:lang w:val="en-US" w:eastAsia="en-US"/>
              </w:rPr>
              <w:t>Оборотен капитал</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156,980</w:t>
            </w:r>
          </w:p>
        </w:tc>
        <w:tc>
          <w:tcPr>
            <w:tcW w:w="543" w:type="pct"/>
            <w:tcBorders>
              <w:top w:val="single" w:sz="4" w:space="0" w:color="auto"/>
              <w:left w:val="nil"/>
              <w:bottom w:val="single" w:sz="4" w:space="0" w:color="auto"/>
              <w:right w:val="nil"/>
            </w:tcBorders>
            <w:shd w:val="clear" w:color="000000" w:fill="C0C0C0"/>
            <w:vAlign w:val="bottom"/>
          </w:tcPr>
          <w:p w:rsidR="003C176C" w:rsidRPr="003C176C" w:rsidRDefault="003C176C" w:rsidP="003C176C">
            <w:r w:rsidRPr="003C176C">
              <w:t> </w:t>
            </w:r>
          </w:p>
        </w:tc>
        <w:tc>
          <w:tcPr>
            <w:tcW w:w="575" w:type="pct"/>
            <w:gridSpan w:val="3"/>
            <w:tcBorders>
              <w:top w:val="single" w:sz="4" w:space="0" w:color="auto"/>
              <w:left w:val="single" w:sz="4" w:space="0" w:color="auto"/>
              <w:bottom w:val="single" w:sz="4" w:space="0" w:color="auto"/>
              <w:right w:val="single" w:sz="4" w:space="0" w:color="auto"/>
            </w:tcBorders>
            <w:shd w:val="clear" w:color="000000" w:fill="C0C0C0"/>
            <w:vAlign w:val="bottom"/>
          </w:tcPr>
          <w:p w:rsidR="003C176C" w:rsidRPr="003C176C" w:rsidRDefault="003C176C" w:rsidP="003C176C">
            <w:r w:rsidRPr="003C176C">
              <w:t> </w:t>
            </w:r>
          </w:p>
        </w:tc>
        <w:tc>
          <w:tcPr>
            <w:tcW w:w="809" w:type="pct"/>
            <w:gridSpan w:val="3"/>
            <w:tcBorders>
              <w:top w:val="single" w:sz="4" w:space="0" w:color="auto"/>
              <w:left w:val="nil"/>
              <w:bottom w:val="single" w:sz="4" w:space="0" w:color="auto"/>
              <w:right w:val="nil"/>
            </w:tcBorders>
            <w:shd w:val="clear" w:color="auto" w:fill="auto"/>
            <w:vAlign w:val="bottom"/>
          </w:tcPr>
          <w:p w:rsidR="003C176C" w:rsidRPr="003C176C" w:rsidRDefault="003C176C" w:rsidP="003C176C">
            <w:pPr>
              <w:jc w:val="right"/>
            </w:pPr>
            <w:r w:rsidRPr="003C176C">
              <w:t>127,016</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3C176C" w:rsidRPr="003C176C" w:rsidRDefault="003C176C" w:rsidP="003C176C">
            <w:pPr>
              <w:jc w:val="right"/>
            </w:pPr>
            <w:r w:rsidRPr="003C176C">
              <w:t>23.6%</w:t>
            </w:r>
          </w:p>
        </w:tc>
      </w:tr>
      <w:tr w:rsidR="003C176C" w:rsidRPr="00675837" w:rsidTr="003C176C">
        <w:trPr>
          <w:trHeight w:val="315"/>
          <w:jc w:val="right"/>
        </w:trPr>
        <w:tc>
          <w:tcPr>
            <w:tcW w:w="1595" w:type="pct"/>
            <w:tcBorders>
              <w:top w:val="single" w:sz="4" w:space="0" w:color="auto"/>
              <w:left w:val="double" w:sz="4" w:space="0" w:color="auto"/>
              <w:bottom w:val="single" w:sz="4" w:space="0" w:color="auto"/>
              <w:right w:val="single" w:sz="4" w:space="0" w:color="auto"/>
            </w:tcBorders>
            <w:vAlign w:val="center"/>
          </w:tcPr>
          <w:p w:rsidR="003C176C" w:rsidRPr="00E461F9" w:rsidRDefault="003C176C" w:rsidP="003C176C">
            <w:pPr>
              <w:rPr>
                <w:snapToGrid w:val="0"/>
                <w:lang w:val="en-US" w:eastAsia="en-US"/>
              </w:rPr>
            </w:pPr>
            <w:r w:rsidRPr="00E461F9">
              <w:rPr>
                <w:snapToGrid w:val="0"/>
                <w:lang w:eastAsia="en-US"/>
              </w:rPr>
              <w:t>Постоянен</w:t>
            </w:r>
            <w:r w:rsidRPr="00E461F9">
              <w:rPr>
                <w:snapToGrid w:val="0"/>
                <w:lang w:val="en-US" w:eastAsia="en-US"/>
              </w:rPr>
              <w:t xml:space="preserve"> капитал</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375,759</w:t>
            </w:r>
          </w:p>
        </w:tc>
        <w:tc>
          <w:tcPr>
            <w:tcW w:w="543" w:type="pct"/>
            <w:tcBorders>
              <w:top w:val="single" w:sz="4" w:space="0" w:color="auto"/>
              <w:left w:val="nil"/>
              <w:bottom w:val="single" w:sz="4" w:space="0" w:color="auto"/>
              <w:right w:val="nil"/>
            </w:tcBorders>
            <w:shd w:val="clear" w:color="000000" w:fill="C0C0C0"/>
            <w:vAlign w:val="bottom"/>
          </w:tcPr>
          <w:p w:rsidR="003C176C" w:rsidRPr="003C176C" w:rsidRDefault="003C176C" w:rsidP="003C176C">
            <w:r w:rsidRPr="003C176C">
              <w:t> </w:t>
            </w:r>
          </w:p>
        </w:tc>
        <w:tc>
          <w:tcPr>
            <w:tcW w:w="575" w:type="pct"/>
            <w:gridSpan w:val="3"/>
            <w:tcBorders>
              <w:top w:val="single" w:sz="4" w:space="0" w:color="auto"/>
              <w:left w:val="single" w:sz="4" w:space="0" w:color="auto"/>
              <w:bottom w:val="single" w:sz="4" w:space="0" w:color="auto"/>
              <w:right w:val="single" w:sz="4" w:space="0" w:color="auto"/>
            </w:tcBorders>
            <w:shd w:val="clear" w:color="000000" w:fill="C0C0C0"/>
            <w:vAlign w:val="bottom"/>
          </w:tcPr>
          <w:p w:rsidR="003C176C" w:rsidRPr="003C176C" w:rsidRDefault="003C176C" w:rsidP="003C176C">
            <w:r w:rsidRPr="003C176C">
              <w:t> </w:t>
            </w:r>
          </w:p>
        </w:tc>
        <w:tc>
          <w:tcPr>
            <w:tcW w:w="809" w:type="pct"/>
            <w:gridSpan w:val="3"/>
            <w:tcBorders>
              <w:top w:val="single" w:sz="4" w:space="0" w:color="auto"/>
              <w:left w:val="nil"/>
              <w:bottom w:val="single" w:sz="4" w:space="0" w:color="auto"/>
              <w:right w:val="nil"/>
            </w:tcBorders>
            <w:shd w:val="clear" w:color="auto" w:fill="auto"/>
            <w:vAlign w:val="bottom"/>
          </w:tcPr>
          <w:p w:rsidR="003C176C" w:rsidRPr="003C176C" w:rsidRDefault="003C176C" w:rsidP="003C176C">
            <w:pPr>
              <w:jc w:val="right"/>
            </w:pPr>
            <w:r w:rsidRPr="003C176C">
              <w:t>348,414</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3C176C" w:rsidRPr="003C176C" w:rsidRDefault="003C176C" w:rsidP="003C176C">
            <w:pPr>
              <w:jc w:val="right"/>
            </w:pPr>
            <w:r w:rsidRPr="003C176C">
              <w:t>7.8%</w:t>
            </w:r>
          </w:p>
        </w:tc>
      </w:tr>
      <w:tr w:rsidR="003C176C" w:rsidRPr="00675837" w:rsidTr="003C176C">
        <w:trPr>
          <w:trHeight w:val="315"/>
          <w:jc w:val="right"/>
        </w:trPr>
        <w:tc>
          <w:tcPr>
            <w:tcW w:w="1595" w:type="pct"/>
            <w:tcBorders>
              <w:top w:val="single" w:sz="4" w:space="0" w:color="auto"/>
              <w:left w:val="double" w:sz="4" w:space="0" w:color="auto"/>
              <w:bottom w:val="single" w:sz="4" w:space="0" w:color="auto"/>
              <w:right w:val="single" w:sz="4" w:space="0" w:color="auto"/>
            </w:tcBorders>
            <w:vAlign w:val="center"/>
          </w:tcPr>
          <w:p w:rsidR="003C176C" w:rsidRPr="00E461F9" w:rsidRDefault="003C176C" w:rsidP="003C176C">
            <w:pPr>
              <w:rPr>
                <w:snapToGrid w:val="0"/>
                <w:lang w:val="en-US" w:eastAsia="en-US"/>
              </w:rPr>
            </w:pPr>
            <w:r w:rsidRPr="00E461F9">
              <w:rPr>
                <w:snapToGrid w:val="0"/>
                <w:lang w:val="en-US" w:eastAsia="en-US"/>
              </w:rPr>
              <w:t>Текуща ликвидност</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4.5</w:t>
            </w:r>
          </w:p>
        </w:tc>
        <w:tc>
          <w:tcPr>
            <w:tcW w:w="543" w:type="pct"/>
            <w:tcBorders>
              <w:top w:val="single" w:sz="4" w:space="0" w:color="auto"/>
              <w:left w:val="nil"/>
              <w:bottom w:val="single" w:sz="4" w:space="0" w:color="auto"/>
              <w:right w:val="nil"/>
            </w:tcBorders>
            <w:shd w:val="clear" w:color="000000" w:fill="C0C0C0"/>
            <w:vAlign w:val="bottom"/>
          </w:tcPr>
          <w:p w:rsidR="003C176C" w:rsidRPr="003C176C" w:rsidRDefault="003C176C" w:rsidP="003C176C">
            <w:r w:rsidRPr="003C176C">
              <w:t> </w:t>
            </w:r>
          </w:p>
        </w:tc>
        <w:tc>
          <w:tcPr>
            <w:tcW w:w="575" w:type="pct"/>
            <w:gridSpan w:val="3"/>
            <w:tcBorders>
              <w:top w:val="single" w:sz="4" w:space="0" w:color="auto"/>
              <w:left w:val="single" w:sz="4" w:space="0" w:color="auto"/>
              <w:bottom w:val="single" w:sz="4" w:space="0" w:color="auto"/>
              <w:right w:val="single" w:sz="4" w:space="0" w:color="auto"/>
            </w:tcBorders>
            <w:shd w:val="clear" w:color="000000" w:fill="C0C0C0"/>
            <w:vAlign w:val="bottom"/>
          </w:tcPr>
          <w:p w:rsidR="003C176C" w:rsidRPr="003C176C" w:rsidRDefault="003C176C" w:rsidP="003C176C">
            <w:r w:rsidRPr="003C176C">
              <w:t> </w:t>
            </w:r>
          </w:p>
        </w:tc>
        <w:tc>
          <w:tcPr>
            <w:tcW w:w="809" w:type="pct"/>
            <w:gridSpan w:val="3"/>
            <w:tcBorders>
              <w:top w:val="single" w:sz="4" w:space="0" w:color="auto"/>
              <w:left w:val="nil"/>
              <w:bottom w:val="single" w:sz="4" w:space="0" w:color="auto"/>
              <w:right w:val="nil"/>
            </w:tcBorders>
            <w:shd w:val="clear" w:color="auto" w:fill="auto"/>
            <w:vAlign w:val="bottom"/>
          </w:tcPr>
          <w:p w:rsidR="003C176C" w:rsidRPr="003C176C" w:rsidRDefault="003C176C" w:rsidP="003C176C">
            <w:pPr>
              <w:jc w:val="right"/>
            </w:pPr>
            <w:r w:rsidRPr="003C176C">
              <w:t>2.7</w:t>
            </w:r>
          </w:p>
        </w:tc>
        <w:tc>
          <w:tcPr>
            <w:tcW w:w="842" w:type="pct"/>
            <w:tcBorders>
              <w:top w:val="single" w:sz="4" w:space="0" w:color="auto"/>
              <w:left w:val="single" w:sz="4" w:space="0" w:color="auto"/>
              <w:bottom w:val="single" w:sz="4" w:space="0" w:color="auto"/>
              <w:right w:val="double" w:sz="4" w:space="0" w:color="auto"/>
            </w:tcBorders>
            <w:shd w:val="clear" w:color="auto" w:fill="auto"/>
            <w:vAlign w:val="bottom"/>
          </w:tcPr>
          <w:p w:rsidR="003C176C" w:rsidRPr="003C176C" w:rsidRDefault="003C176C" w:rsidP="003C176C">
            <w:pPr>
              <w:jc w:val="right"/>
            </w:pPr>
          </w:p>
        </w:tc>
      </w:tr>
      <w:tr w:rsidR="003C176C" w:rsidRPr="00675837" w:rsidTr="003C176C">
        <w:trPr>
          <w:trHeight w:val="315"/>
          <w:jc w:val="right"/>
        </w:trPr>
        <w:tc>
          <w:tcPr>
            <w:tcW w:w="1595" w:type="pct"/>
            <w:tcBorders>
              <w:top w:val="single" w:sz="4" w:space="0" w:color="auto"/>
              <w:left w:val="double" w:sz="4" w:space="0" w:color="auto"/>
              <w:bottom w:val="double" w:sz="4" w:space="0" w:color="auto"/>
              <w:right w:val="single" w:sz="4" w:space="0" w:color="auto"/>
            </w:tcBorders>
            <w:vAlign w:val="center"/>
          </w:tcPr>
          <w:p w:rsidR="003C176C" w:rsidRPr="00E461F9" w:rsidRDefault="003C176C" w:rsidP="003C176C">
            <w:pPr>
              <w:rPr>
                <w:snapToGrid w:val="0"/>
                <w:lang w:val="ru-RU" w:eastAsia="en-US"/>
              </w:rPr>
            </w:pPr>
            <w:r w:rsidRPr="00E461F9">
              <w:rPr>
                <w:snapToGrid w:val="0"/>
                <w:lang w:val="ru-RU" w:eastAsia="en-US"/>
              </w:rPr>
              <w:t>Дългосрочни пасиви/Сума на активите (%)</w:t>
            </w:r>
          </w:p>
        </w:tc>
        <w:tc>
          <w:tcPr>
            <w:tcW w:w="636" w:type="pct"/>
            <w:gridSpan w:val="3"/>
            <w:tcBorders>
              <w:top w:val="single" w:sz="4" w:space="0" w:color="auto"/>
              <w:left w:val="single" w:sz="4" w:space="0" w:color="auto"/>
              <w:bottom w:val="double" w:sz="4" w:space="0" w:color="auto"/>
              <w:right w:val="single" w:sz="4" w:space="0" w:color="auto"/>
            </w:tcBorders>
            <w:shd w:val="clear" w:color="auto" w:fill="auto"/>
            <w:vAlign w:val="bottom"/>
          </w:tcPr>
          <w:p w:rsidR="003C176C" w:rsidRPr="003C176C" w:rsidRDefault="003C176C" w:rsidP="003C176C">
            <w:pPr>
              <w:jc w:val="right"/>
            </w:pPr>
            <w:r w:rsidRPr="003C176C">
              <w:t>5.0%</w:t>
            </w:r>
          </w:p>
        </w:tc>
        <w:tc>
          <w:tcPr>
            <w:tcW w:w="543" w:type="pct"/>
            <w:tcBorders>
              <w:top w:val="single" w:sz="4" w:space="0" w:color="auto"/>
              <w:left w:val="nil"/>
              <w:bottom w:val="double" w:sz="4" w:space="0" w:color="auto"/>
              <w:right w:val="nil"/>
            </w:tcBorders>
            <w:shd w:val="clear" w:color="000000" w:fill="C0C0C0"/>
            <w:vAlign w:val="bottom"/>
          </w:tcPr>
          <w:p w:rsidR="003C176C" w:rsidRPr="003C176C" w:rsidRDefault="003C176C" w:rsidP="003C176C">
            <w:r w:rsidRPr="003C176C">
              <w:t> </w:t>
            </w:r>
          </w:p>
        </w:tc>
        <w:tc>
          <w:tcPr>
            <w:tcW w:w="575" w:type="pct"/>
            <w:gridSpan w:val="3"/>
            <w:tcBorders>
              <w:top w:val="single" w:sz="4" w:space="0" w:color="auto"/>
              <w:left w:val="single" w:sz="4" w:space="0" w:color="auto"/>
              <w:bottom w:val="double" w:sz="4" w:space="0" w:color="auto"/>
              <w:right w:val="single" w:sz="4" w:space="0" w:color="auto"/>
            </w:tcBorders>
            <w:shd w:val="clear" w:color="000000" w:fill="C0C0C0"/>
            <w:vAlign w:val="bottom"/>
          </w:tcPr>
          <w:p w:rsidR="003C176C" w:rsidRPr="003C176C" w:rsidRDefault="003C176C" w:rsidP="003C176C">
            <w:r w:rsidRPr="003C176C">
              <w:t> </w:t>
            </w:r>
          </w:p>
        </w:tc>
        <w:tc>
          <w:tcPr>
            <w:tcW w:w="809" w:type="pct"/>
            <w:gridSpan w:val="3"/>
            <w:tcBorders>
              <w:top w:val="single" w:sz="4" w:space="0" w:color="auto"/>
              <w:left w:val="nil"/>
              <w:bottom w:val="double" w:sz="4" w:space="0" w:color="auto"/>
              <w:right w:val="nil"/>
            </w:tcBorders>
            <w:shd w:val="clear" w:color="auto" w:fill="auto"/>
            <w:vAlign w:val="bottom"/>
          </w:tcPr>
          <w:p w:rsidR="003C176C" w:rsidRPr="003C176C" w:rsidRDefault="003C176C" w:rsidP="003C176C">
            <w:pPr>
              <w:jc w:val="right"/>
            </w:pPr>
            <w:r w:rsidRPr="003C176C">
              <w:t>3.3%</w:t>
            </w:r>
          </w:p>
        </w:tc>
        <w:tc>
          <w:tcPr>
            <w:tcW w:w="842" w:type="pct"/>
            <w:tcBorders>
              <w:top w:val="single" w:sz="4" w:space="0" w:color="auto"/>
              <w:left w:val="single" w:sz="4" w:space="0" w:color="auto"/>
              <w:bottom w:val="double" w:sz="4" w:space="0" w:color="auto"/>
              <w:right w:val="double" w:sz="4" w:space="0" w:color="auto"/>
            </w:tcBorders>
            <w:shd w:val="clear" w:color="auto" w:fill="auto"/>
            <w:vAlign w:val="bottom"/>
          </w:tcPr>
          <w:p w:rsidR="003C176C" w:rsidRPr="003C176C" w:rsidRDefault="003C176C" w:rsidP="003C176C">
            <w:pPr>
              <w:jc w:val="right"/>
            </w:pPr>
          </w:p>
        </w:tc>
      </w:tr>
      <w:tr w:rsidR="003C176C" w:rsidRPr="002A3EAD" w:rsidTr="003C176C">
        <w:trPr>
          <w:trHeight w:val="315"/>
          <w:jc w:val="right"/>
        </w:trPr>
        <w:tc>
          <w:tcPr>
            <w:tcW w:w="1595" w:type="pct"/>
            <w:tcBorders>
              <w:top w:val="double" w:sz="4" w:space="0" w:color="auto"/>
              <w:bottom w:val="double" w:sz="4" w:space="0" w:color="auto"/>
            </w:tcBorders>
            <w:shd w:val="clear" w:color="auto" w:fill="C0C0C0"/>
            <w:vAlign w:val="center"/>
          </w:tcPr>
          <w:p w:rsidR="003C176C" w:rsidRPr="002A3EAD" w:rsidRDefault="003C176C" w:rsidP="003C176C"/>
        </w:tc>
        <w:tc>
          <w:tcPr>
            <w:tcW w:w="636" w:type="pct"/>
            <w:gridSpan w:val="3"/>
            <w:tcBorders>
              <w:top w:val="double" w:sz="4" w:space="0" w:color="auto"/>
              <w:bottom w:val="double" w:sz="4" w:space="0" w:color="auto"/>
            </w:tcBorders>
            <w:shd w:val="clear" w:color="auto" w:fill="C0C0C0"/>
            <w:vAlign w:val="center"/>
          </w:tcPr>
          <w:p w:rsidR="003C176C" w:rsidRPr="002A3EAD" w:rsidRDefault="003C176C" w:rsidP="003C176C">
            <w:pPr>
              <w:jc w:val="right"/>
            </w:pPr>
            <w:r w:rsidRPr="002A3EAD">
              <w:t> </w:t>
            </w:r>
          </w:p>
        </w:tc>
        <w:tc>
          <w:tcPr>
            <w:tcW w:w="543" w:type="pct"/>
            <w:tcBorders>
              <w:top w:val="double" w:sz="4" w:space="0" w:color="auto"/>
              <w:bottom w:val="double" w:sz="4" w:space="0" w:color="auto"/>
            </w:tcBorders>
            <w:shd w:val="clear" w:color="auto" w:fill="C0C0C0"/>
            <w:vAlign w:val="center"/>
          </w:tcPr>
          <w:p w:rsidR="003C176C" w:rsidRPr="002A3EAD" w:rsidRDefault="003C176C" w:rsidP="003C176C">
            <w:pPr>
              <w:jc w:val="right"/>
            </w:pPr>
            <w:r w:rsidRPr="002A3EAD">
              <w:t> </w:t>
            </w:r>
          </w:p>
        </w:tc>
        <w:tc>
          <w:tcPr>
            <w:tcW w:w="575" w:type="pct"/>
            <w:gridSpan w:val="3"/>
            <w:tcBorders>
              <w:top w:val="double" w:sz="4" w:space="0" w:color="auto"/>
              <w:bottom w:val="double" w:sz="4" w:space="0" w:color="auto"/>
            </w:tcBorders>
            <w:shd w:val="clear" w:color="auto" w:fill="C0C0C0"/>
            <w:vAlign w:val="center"/>
          </w:tcPr>
          <w:p w:rsidR="003C176C" w:rsidRPr="002A3EAD" w:rsidRDefault="003C176C" w:rsidP="003C176C">
            <w:pPr>
              <w:jc w:val="right"/>
            </w:pPr>
            <w:r w:rsidRPr="002A3EAD">
              <w:t> </w:t>
            </w:r>
          </w:p>
        </w:tc>
        <w:tc>
          <w:tcPr>
            <w:tcW w:w="809" w:type="pct"/>
            <w:gridSpan w:val="3"/>
            <w:tcBorders>
              <w:top w:val="double" w:sz="4" w:space="0" w:color="auto"/>
              <w:bottom w:val="double" w:sz="4" w:space="0" w:color="auto"/>
            </w:tcBorders>
            <w:shd w:val="clear" w:color="auto" w:fill="C0C0C0"/>
            <w:vAlign w:val="center"/>
          </w:tcPr>
          <w:p w:rsidR="003C176C" w:rsidRPr="002A3EAD" w:rsidRDefault="003C176C" w:rsidP="003C176C">
            <w:pPr>
              <w:jc w:val="right"/>
            </w:pPr>
            <w:r w:rsidRPr="002A3EAD">
              <w:t> </w:t>
            </w:r>
          </w:p>
        </w:tc>
        <w:tc>
          <w:tcPr>
            <w:tcW w:w="842" w:type="pct"/>
            <w:tcBorders>
              <w:top w:val="double" w:sz="4" w:space="0" w:color="auto"/>
              <w:bottom w:val="double" w:sz="4" w:space="0" w:color="auto"/>
              <w:right w:val="double" w:sz="4" w:space="0" w:color="auto"/>
            </w:tcBorders>
            <w:shd w:val="clear" w:color="auto" w:fill="C0C0C0"/>
            <w:vAlign w:val="center"/>
          </w:tcPr>
          <w:p w:rsidR="003C176C" w:rsidRPr="002A3EAD" w:rsidRDefault="003C176C" w:rsidP="003C176C">
            <w:pPr>
              <w:jc w:val="right"/>
            </w:pPr>
            <w:r w:rsidRPr="002A3EAD">
              <w:t> </w:t>
            </w:r>
          </w:p>
        </w:tc>
      </w:tr>
      <w:tr w:rsidR="003C176C" w:rsidRPr="000C6731" w:rsidTr="003C176C">
        <w:trPr>
          <w:trHeight w:val="1035"/>
          <w:jc w:val="right"/>
        </w:trPr>
        <w:tc>
          <w:tcPr>
            <w:tcW w:w="1595" w:type="pct"/>
            <w:tcBorders>
              <w:top w:val="double" w:sz="4" w:space="0" w:color="auto"/>
              <w:left w:val="double" w:sz="4" w:space="0" w:color="auto"/>
              <w:bottom w:val="single" w:sz="4" w:space="0" w:color="auto"/>
              <w:right w:val="nil"/>
            </w:tcBorders>
            <w:vAlign w:val="center"/>
          </w:tcPr>
          <w:p w:rsidR="003C176C" w:rsidRPr="000C6731" w:rsidRDefault="003C176C" w:rsidP="003C176C">
            <w:pPr>
              <w:jc w:val="center"/>
              <w:rPr>
                <w:b/>
              </w:rPr>
            </w:pPr>
            <w:r w:rsidRPr="000C6731">
              <w:rPr>
                <w:b/>
              </w:rPr>
              <w:lastRenderedPageBreak/>
              <w:t>в хил. лева</w:t>
            </w:r>
          </w:p>
        </w:tc>
        <w:tc>
          <w:tcPr>
            <w:tcW w:w="636" w:type="pct"/>
            <w:gridSpan w:val="3"/>
            <w:tcBorders>
              <w:top w:val="double" w:sz="4" w:space="0" w:color="auto"/>
              <w:left w:val="single" w:sz="4" w:space="0" w:color="auto"/>
              <w:bottom w:val="single" w:sz="4" w:space="0" w:color="auto"/>
              <w:right w:val="single" w:sz="4" w:space="0" w:color="auto"/>
            </w:tcBorders>
            <w:vAlign w:val="center"/>
          </w:tcPr>
          <w:p w:rsidR="003C176C" w:rsidRPr="000C6731" w:rsidRDefault="003C176C" w:rsidP="003C176C">
            <w:pPr>
              <w:jc w:val="center"/>
              <w:rPr>
                <w:b/>
              </w:rPr>
            </w:pPr>
            <w:r w:rsidRPr="000C6731">
              <w:rPr>
                <w:b/>
              </w:rPr>
              <w:t>отчетен период</w:t>
            </w:r>
          </w:p>
        </w:tc>
        <w:tc>
          <w:tcPr>
            <w:tcW w:w="543" w:type="pct"/>
            <w:tcBorders>
              <w:top w:val="double" w:sz="4" w:space="0" w:color="auto"/>
              <w:left w:val="nil"/>
              <w:bottom w:val="single" w:sz="4" w:space="0" w:color="auto"/>
              <w:right w:val="nil"/>
            </w:tcBorders>
            <w:vAlign w:val="center"/>
          </w:tcPr>
          <w:p w:rsidR="003C176C" w:rsidRPr="000C6731" w:rsidRDefault="003C176C" w:rsidP="003C176C">
            <w:pPr>
              <w:jc w:val="center"/>
              <w:rPr>
                <w:b/>
                <w:lang w:val="en-US"/>
              </w:rPr>
            </w:pPr>
          </w:p>
          <w:p w:rsidR="003C176C" w:rsidRPr="000C6731" w:rsidRDefault="003C176C" w:rsidP="003C176C">
            <w:pPr>
              <w:jc w:val="center"/>
              <w:rPr>
                <w:b/>
              </w:rPr>
            </w:pPr>
            <w:r w:rsidRPr="000C6731">
              <w:rPr>
                <w:b/>
              </w:rPr>
              <w:t>ГФП  201</w:t>
            </w:r>
            <w:r w:rsidRPr="000C6731">
              <w:rPr>
                <w:b/>
                <w:lang w:val="en-US"/>
              </w:rPr>
              <w:t xml:space="preserve">8 </w:t>
            </w:r>
            <w:r w:rsidRPr="000C6731">
              <w:rPr>
                <w:b/>
              </w:rPr>
              <w:t>г.</w:t>
            </w:r>
          </w:p>
          <w:p w:rsidR="003C176C" w:rsidRPr="000C6731" w:rsidRDefault="003C176C" w:rsidP="003C176C">
            <w:pPr>
              <w:jc w:val="center"/>
              <w:rPr>
                <w:b/>
              </w:rPr>
            </w:pPr>
          </w:p>
        </w:tc>
        <w:tc>
          <w:tcPr>
            <w:tcW w:w="566" w:type="pct"/>
            <w:gridSpan w:val="2"/>
            <w:tcBorders>
              <w:top w:val="double" w:sz="4" w:space="0" w:color="auto"/>
              <w:left w:val="single" w:sz="4" w:space="0" w:color="auto"/>
              <w:bottom w:val="single" w:sz="4" w:space="0" w:color="auto"/>
              <w:right w:val="single" w:sz="4" w:space="0" w:color="auto"/>
            </w:tcBorders>
            <w:vAlign w:val="center"/>
          </w:tcPr>
          <w:p w:rsidR="003C176C" w:rsidRPr="000C6731" w:rsidRDefault="003C176C" w:rsidP="003C176C">
            <w:pPr>
              <w:jc w:val="center"/>
              <w:rPr>
                <w:b/>
              </w:rPr>
            </w:pPr>
            <w:r w:rsidRPr="000C6731">
              <w:rPr>
                <w:b/>
              </w:rPr>
              <w:t>1/2</w:t>
            </w:r>
          </w:p>
          <w:p w:rsidR="003C176C" w:rsidRPr="000C6731" w:rsidRDefault="003C176C" w:rsidP="003C176C">
            <w:pPr>
              <w:jc w:val="center"/>
              <w:rPr>
                <w:b/>
              </w:rPr>
            </w:pPr>
            <w:r w:rsidRPr="000C6731">
              <w:rPr>
                <w:b/>
              </w:rPr>
              <w:t>(%)</w:t>
            </w:r>
          </w:p>
        </w:tc>
        <w:tc>
          <w:tcPr>
            <w:tcW w:w="809" w:type="pct"/>
            <w:gridSpan w:val="3"/>
            <w:tcBorders>
              <w:top w:val="double" w:sz="4" w:space="0" w:color="auto"/>
              <w:left w:val="nil"/>
              <w:bottom w:val="single" w:sz="4" w:space="0" w:color="auto"/>
              <w:right w:val="nil"/>
            </w:tcBorders>
            <w:vAlign w:val="center"/>
          </w:tcPr>
          <w:p w:rsidR="003C176C" w:rsidRPr="000C6731" w:rsidRDefault="003C176C" w:rsidP="003C176C">
            <w:pPr>
              <w:jc w:val="center"/>
              <w:rPr>
                <w:b/>
              </w:rPr>
            </w:pPr>
            <w:r w:rsidRPr="000C6731">
              <w:rPr>
                <w:b/>
              </w:rPr>
              <w:t>съответен период на предходна година</w:t>
            </w:r>
          </w:p>
        </w:tc>
        <w:tc>
          <w:tcPr>
            <w:tcW w:w="851" w:type="pct"/>
            <w:gridSpan w:val="2"/>
            <w:tcBorders>
              <w:top w:val="double" w:sz="4" w:space="0" w:color="auto"/>
              <w:left w:val="single" w:sz="4" w:space="0" w:color="auto"/>
              <w:bottom w:val="single" w:sz="4" w:space="0" w:color="auto"/>
              <w:right w:val="double" w:sz="4" w:space="0" w:color="auto"/>
            </w:tcBorders>
            <w:vAlign w:val="center"/>
          </w:tcPr>
          <w:p w:rsidR="003C176C" w:rsidRPr="000C6731" w:rsidRDefault="003C176C" w:rsidP="003C176C">
            <w:pPr>
              <w:jc w:val="center"/>
              <w:rPr>
                <w:b/>
              </w:rPr>
            </w:pPr>
            <w:r w:rsidRPr="000C6731">
              <w:rPr>
                <w:b/>
              </w:rPr>
              <w:t>1/3</w:t>
            </w:r>
          </w:p>
          <w:p w:rsidR="003C176C" w:rsidRPr="000C6731" w:rsidRDefault="003C176C" w:rsidP="003C176C">
            <w:pPr>
              <w:jc w:val="center"/>
              <w:rPr>
                <w:b/>
              </w:rPr>
            </w:pPr>
            <w:r w:rsidRPr="000C6731">
              <w:rPr>
                <w:b/>
              </w:rPr>
              <w:t>(%)</w:t>
            </w:r>
          </w:p>
        </w:tc>
      </w:tr>
      <w:tr w:rsidR="003C176C" w:rsidRPr="000C6731" w:rsidTr="003C176C">
        <w:trPr>
          <w:trHeight w:val="330"/>
          <w:jc w:val="right"/>
        </w:trPr>
        <w:tc>
          <w:tcPr>
            <w:tcW w:w="1595" w:type="pct"/>
            <w:tcBorders>
              <w:top w:val="single" w:sz="4" w:space="0" w:color="auto"/>
              <w:left w:val="double" w:sz="4" w:space="0" w:color="auto"/>
              <w:bottom w:val="single" w:sz="4" w:space="0" w:color="auto"/>
              <w:right w:val="nil"/>
            </w:tcBorders>
            <w:vAlign w:val="center"/>
          </w:tcPr>
          <w:p w:rsidR="003C176C" w:rsidRPr="000C6731" w:rsidRDefault="003C176C" w:rsidP="003C176C">
            <w:pPr>
              <w:rPr>
                <w:snapToGrid w:val="0"/>
                <w:lang w:val="ru-RU" w:eastAsia="en-US"/>
              </w:rPr>
            </w:pPr>
            <w:r w:rsidRPr="000C6731">
              <w:rPr>
                <w:snapToGrid w:val="0"/>
                <w:lang w:val="ru-RU" w:eastAsia="en-US"/>
              </w:rPr>
              <w:t>Средносписъчен брой на служителите за периода</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rPr>
                <w:lang w:eastAsia="bg-BG"/>
              </w:rPr>
            </w:pPr>
            <w:r w:rsidRPr="003C176C">
              <w:t>1,132</w:t>
            </w:r>
          </w:p>
        </w:tc>
        <w:tc>
          <w:tcPr>
            <w:tcW w:w="543" w:type="pct"/>
            <w:tcBorders>
              <w:top w:val="single" w:sz="4" w:space="0" w:color="auto"/>
              <w:left w:val="nil"/>
              <w:bottom w:val="single" w:sz="4" w:space="0" w:color="auto"/>
              <w:right w:val="single" w:sz="4" w:space="0" w:color="auto"/>
            </w:tcBorders>
            <w:shd w:val="clear" w:color="auto" w:fill="auto"/>
            <w:vAlign w:val="bottom"/>
          </w:tcPr>
          <w:p w:rsidR="003C176C" w:rsidRPr="003C176C" w:rsidRDefault="003C176C" w:rsidP="003C176C">
            <w:pPr>
              <w:jc w:val="right"/>
            </w:pPr>
            <w:r w:rsidRPr="003C176C">
              <w:t>1,440</w:t>
            </w:r>
          </w:p>
        </w:tc>
        <w:tc>
          <w:tcPr>
            <w:tcW w:w="566" w:type="pct"/>
            <w:gridSpan w:val="2"/>
            <w:tcBorders>
              <w:top w:val="single" w:sz="4" w:space="0" w:color="auto"/>
              <w:left w:val="nil"/>
              <w:bottom w:val="single" w:sz="4" w:space="0" w:color="auto"/>
              <w:right w:val="single" w:sz="4" w:space="0" w:color="auto"/>
            </w:tcBorders>
            <w:shd w:val="clear" w:color="auto" w:fill="auto"/>
            <w:vAlign w:val="bottom"/>
          </w:tcPr>
          <w:p w:rsidR="003C176C" w:rsidRPr="003C176C" w:rsidRDefault="003C176C" w:rsidP="003C176C">
            <w:pPr>
              <w:jc w:val="right"/>
            </w:pPr>
            <w:r w:rsidRPr="003C176C">
              <w:t>-21.4%</w:t>
            </w:r>
          </w:p>
        </w:tc>
        <w:tc>
          <w:tcPr>
            <w:tcW w:w="809" w:type="pct"/>
            <w:gridSpan w:val="3"/>
            <w:tcBorders>
              <w:top w:val="single" w:sz="4" w:space="0" w:color="auto"/>
              <w:left w:val="nil"/>
              <w:bottom w:val="single" w:sz="4" w:space="0" w:color="auto"/>
              <w:right w:val="nil"/>
            </w:tcBorders>
            <w:shd w:val="clear" w:color="auto" w:fill="auto"/>
            <w:vAlign w:val="bottom"/>
          </w:tcPr>
          <w:p w:rsidR="003C176C" w:rsidRPr="003C176C" w:rsidRDefault="003C176C" w:rsidP="003C176C">
            <w:pPr>
              <w:jc w:val="right"/>
            </w:pPr>
            <w:r w:rsidRPr="003C176C">
              <w:t>1,087</w:t>
            </w:r>
          </w:p>
        </w:tc>
        <w:tc>
          <w:tcPr>
            <w:tcW w:w="851" w:type="pct"/>
            <w:gridSpan w:val="2"/>
            <w:tcBorders>
              <w:top w:val="single" w:sz="4" w:space="0" w:color="auto"/>
              <w:left w:val="single" w:sz="4" w:space="0" w:color="auto"/>
              <w:bottom w:val="single" w:sz="4" w:space="0" w:color="auto"/>
              <w:right w:val="double" w:sz="4" w:space="0" w:color="auto"/>
            </w:tcBorders>
            <w:shd w:val="clear" w:color="auto" w:fill="auto"/>
            <w:vAlign w:val="bottom"/>
          </w:tcPr>
          <w:p w:rsidR="003C176C" w:rsidRPr="003C176C" w:rsidRDefault="003C176C" w:rsidP="003C176C">
            <w:pPr>
              <w:jc w:val="right"/>
            </w:pPr>
            <w:r w:rsidRPr="003C176C">
              <w:t>4.1%</w:t>
            </w:r>
          </w:p>
        </w:tc>
      </w:tr>
      <w:tr w:rsidR="003C176C" w:rsidRPr="000C6731" w:rsidTr="003C176C">
        <w:trPr>
          <w:trHeight w:val="359"/>
          <w:jc w:val="right"/>
        </w:trPr>
        <w:tc>
          <w:tcPr>
            <w:tcW w:w="1595" w:type="pct"/>
            <w:tcBorders>
              <w:top w:val="single" w:sz="4" w:space="0" w:color="auto"/>
              <w:left w:val="double" w:sz="4" w:space="0" w:color="auto"/>
              <w:bottom w:val="single" w:sz="4" w:space="0" w:color="auto"/>
              <w:right w:val="single" w:sz="4" w:space="0" w:color="auto"/>
            </w:tcBorders>
            <w:vAlign w:val="center"/>
          </w:tcPr>
          <w:p w:rsidR="003C176C" w:rsidRPr="000C6731" w:rsidRDefault="003C176C" w:rsidP="003C176C">
            <w:pPr>
              <w:rPr>
                <w:snapToGrid w:val="0"/>
                <w:highlight w:val="yellow"/>
                <w:lang w:val="en-US" w:eastAsia="en-US"/>
              </w:rPr>
            </w:pPr>
            <w:r w:rsidRPr="000C6731">
              <w:rPr>
                <w:snapToGrid w:val="0"/>
                <w:lang w:val="en-US" w:eastAsia="en-US"/>
              </w:rPr>
              <w:t>Обслужени единици – общо</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rPr>
                <w:lang w:eastAsia="bg-BG"/>
              </w:rPr>
            </w:pPr>
            <w:r w:rsidRPr="003C176C">
              <w:t>2,989,670</w:t>
            </w:r>
          </w:p>
        </w:tc>
        <w:tc>
          <w:tcPr>
            <w:tcW w:w="543" w:type="pct"/>
            <w:tcBorders>
              <w:top w:val="single" w:sz="4" w:space="0" w:color="auto"/>
              <w:left w:val="nil"/>
              <w:bottom w:val="single" w:sz="4" w:space="0" w:color="auto"/>
              <w:right w:val="single" w:sz="4" w:space="0" w:color="auto"/>
            </w:tcBorders>
            <w:shd w:val="clear" w:color="auto" w:fill="auto"/>
            <w:vAlign w:val="bottom"/>
          </w:tcPr>
          <w:p w:rsidR="003C176C" w:rsidRPr="003C176C" w:rsidRDefault="003C176C" w:rsidP="003C176C">
            <w:pPr>
              <w:jc w:val="right"/>
            </w:pPr>
            <w:r w:rsidRPr="003C176C">
              <w:t>2,964,223</w:t>
            </w:r>
          </w:p>
        </w:tc>
        <w:tc>
          <w:tcPr>
            <w:tcW w:w="566" w:type="pct"/>
            <w:gridSpan w:val="2"/>
            <w:tcBorders>
              <w:top w:val="single" w:sz="4" w:space="0" w:color="auto"/>
              <w:left w:val="nil"/>
              <w:bottom w:val="single" w:sz="4" w:space="0" w:color="auto"/>
              <w:right w:val="single" w:sz="4" w:space="0" w:color="auto"/>
            </w:tcBorders>
            <w:shd w:val="clear" w:color="auto" w:fill="auto"/>
            <w:vAlign w:val="bottom"/>
          </w:tcPr>
          <w:p w:rsidR="003C176C" w:rsidRPr="003C176C" w:rsidRDefault="003C176C" w:rsidP="003C176C">
            <w:pPr>
              <w:jc w:val="right"/>
            </w:pPr>
            <w:r w:rsidRPr="003C176C">
              <w:t>0.9%</w:t>
            </w:r>
          </w:p>
        </w:tc>
        <w:tc>
          <w:tcPr>
            <w:tcW w:w="809" w:type="pct"/>
            <w:gridSpan w:val="3"/>
            <w:tcBorders>
              <w:top w:val="single" w:sz="4" w:space="0" w:color="auto"/>
              <w:left w:val="nil"/>
              <w:bottom w:val="single" w:sz="4" w:space="0" w:color="auto"/>
              <w:right w:val="nil"/>
            </w:tcBorders>
            <w:shd w:val="clear" w:color="auto" w:fill="auto"/>
            <w:vAlign w:val="bottom"/>
          </w:tcPr>
          <w:p w:rsidR="003C176C" w:rsidRPr="003C176C" w:rsidRDefault="003C176C" w:rsidP="003C176C">
            <w:pPr>
              <w:jc w:val="right"/>
            </w:pPr>
            <w:r w:rsidRPr="003C176C">
              <w:t>2,665,086</w:t>
            </w:r>
          </w:p>
        </w:tc>
        <w:tc>
          <w:tcPr>
            <w:tcW w:w="851" w:type="pct"/>
            <w:gridSpan w:val="2"/>
            <w:tcBorders>
              <w:top w:val="single" w:sz="4" w:space="0" w:color="auto"/>
              <w:left w:val="single" w:sz="4" w:space="0" w:color="auto"/>
              <w:bottom w:val="single" w:sz="4" w:space="0" w:color="auto"/>
              <w:right w:val="double" w:sz="4" w:space="0" w:color="auto"/>
            </w:tcBorders>
            <w:shd w:val="clear" w:color="auto" w:fill="auto"/>
            <w:vAlign w:val="bottom"/>
          </w:tcPr>
          <w:p w:rsidR="003C176C" w:rsidRPr="003C176C" w:rsidRDefault="003C176C" w:rsidP="003C176C">
            <w:pPr>
              <w:jc w:val="right"/>
            </w:pPr>
            <w:r w:rsidRPr="003C176C">
              <w:t>12.2%</w:t>
            </w:r>
          </w:p>
        </w:tc>
      </w:tr>
      <w:tr w:rsidR="003C176C" w:rsidRPr="000C6731" w:rsidTr="003C176C">
        <w:trPr>
          <w:trHeight w:val="799"/>
          <w:jc w:val="right"/>
        </w:trPr>
        <w:tc>
          <w:tcPr>
            <w:tcW w:w="1595" w:type="pct"/>
            <w:tcBorders>
              <w:top w:val="single" w:sz="4" w:space="0" w:color="auto"/>
              <w:left w:val="double" w:sz="4" w:space="0" w:color="auto"/>
              <w:bottom w:val="double" w:sz="4" w:space="0" w:color="auto"/>
              <w:right w:val="nil"/>
            </w:tcBorders>
            <w:vAlign w:val="center"/>
          </w:tcPr>
          <w:p w:rsidR="003C176C" w:rsidRPr="000C6731" w:rsidRDefault="003C176C" w:rsidP="003C176C">
            <w:pPr>
              <w:rPr>
                <w:snapToGrid w:val="0"/>
                <w:highlight w:val="yellow"/>
                <w:lang w:val="ru-RU" w:eastAsia="en-US"/>
              </w:rPr>
            </w:pPr>
            <w:r w:rsidRPr="000C6731">
              <w:rPr>
                <w:snapToGrid w:val="0"/>
                <w:lang w:val="ru-RU" w:eastAsia="en-US"/>
              </w:rPr>
              <w:t>Обслужени въздухоплавателни средства (бр.)</w:t>
            </w:r>
          </w:p>
        </w:tc>
        <w:tc>
          <w:tcPr>
            <w:tcW w:w="63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682,324</w:t>
            </w:r>
          </w:p>
        </w:tc>
        <w:tc>
          <w:tcPr>
            <w:tcW w:w="543" w:type="pct"/>
            <w:tcBorders>
              <w:top w:val="single" w:sz="4" w:space="0" w:color="auto"/>
              <w:left w:val="nil"/>
              <w:bottom w:val="single" w:sz="4" w:space="0" w:color="auto"/>
              <w:right w:val="nil"/>
            </w:tcBorders>
            <w:shd w:val="clear" w:color="auto" w:fill="auto"/>
            <w:vAlign w:val="bottom"/>
          </w:tcPr>
          <w:p w:rsidR="003C176C" w:rsidRPr="003C176C" w:rsidRDefault="003C176C" w:rsidP="003C176C">
            <w:pPr>
              <w:jc w:val="right"/>
            </w:pPr>
            <w:r w:rsidRPr="003C176C">
              <w:t>682,321</w:t>
            </w:r>
          </w:p>
        </w:tc>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3C176C" w:rsidRPr="003C176C" w:rsidRDefault="003C176C" w:rsidP="003C176C">
            <w:pPr>
              <w:jc w:val="right"/>
            </w:pPr>
            <w:r w:rsidRPr="003C176C">
              <w:t>0.0%</w:t>
            </w:r>
          </w:p>
        </w:tc>
        <w:tc>
          <w:tcPr>
            <w:tcW w:w="809" w:type="pct"/>
            <w:gridSpan w:val="3"/>
            <w:tcBorders>
              <w:top w:val="single" w:sz="4" w:space="0" w:color="auto"/>
              <w:left w:val="nil"/>
              <w:bottom w:val="single" w:sz="4" w:space="0" w:color="auto"/>
              <w:right w:val="nil"/>
            </w:tcBorders>
            <w:shd w:val="clear" w:color="auto" w:fill="auto"/>
            <w:vAlign w:val="bottom"/>
          </w:tcPr>
          <w:p w:rsidR="003C176C" w:rsidRPr="003C176C" w:rsidRDefault="003C176C" w:rsidP="003C176C">
            <w:pPr>
              <w:jc w:val="right"/>
            </w:pPr>
            <w:r w:rsidRPr="003C176C">
              <w:t>610,907</w:t>
            </w:r>
          </w:p>
        </w:tc>
        <w:tc>
          <w:tcPr>
            <w:tcW w:w="851" w:type="pct"/>
            <w:gridSpan w:val="2"/>
            <w:tcBorders>
              <w:top w:val="single" w:sz="4" w:space="0" w:color="auto"/>
              <w:left w:val="single" w:sz="4" w:space="0" w:color="auto"/>
              <w:bottom w:val="single" w:sz="4" w:space="0" w:color="auto"/>
              <w:right w:val="double" w:sz="4" w:space="0" w:color="auto"/>
            </w:tcBorders>
            <w:shd w:val="clear" w:color="auto" w:fill="auto"/>
            <w:vAlign w:val="bottom"/>
          </w:tcPr>
          <w:p w:rsidR="003C176C" w:rsidRPr="003C176C" w:rsidRDefault="003C176C" w:rsidP="003C176C">
            <w:pPr>
              <w:jc w:val="right"/>
            </w:pPr>
            <w:r w:rsidRPr="003C176C">
              <w:t>11.7%</w:t>
            </w:r>
          </w:p>
        </w:tc>
      </w:tr>
      <w:tr w:rsidR="003C176C" w:rsidRPr="002A3EAD" w:rsidTr="005735FA">
        <w:trPr>
          <w:trHeight w:val="315"/>
          <w:jc w:val="right"/>
        </w:trPr>
        <w:tc>
          <w:tcPr>
            <w:tcW w:w="1595" w:type="pct"/>
            <w:tcBorders>
              <w:top w:val="double" w:sz="4" w:space="0" w:color="auto"/>
              <w:left w:val="double" w:sz="4" w:space="0" w:color="auto"/>
              <w:bottom w:val="double" w:sz="4" w:space="0" w:color="auto"/>
            </w:tcBorders>
            <w:shd w:val="clear" w:color="auto" w:fill="C0C0C0"/>
            <w:vAlign w:val="center"/>
          </w:tcPr>
          <w:p w:rsidR="003C176C" w:rsidRPr="005E0820" w:rsidRDefault="003C176C" w:rsidP="003C176C">
            <w:pPr>
              <w:rPr>
                <w:color w:val="FF0000"/>
              </w:rPr>
            </w:pPr>
          </w:p>
        </w:tc>
        <w:tc>
          <w:tcPr>
            <w:tcW w:w="636" w:type="pct"/>
            <w:gridSpan w:val="3"/>
            <w:tcBorders>
              <w:top w:val="double" w:sz="4" w:space="0" w:color="auto"/>
              <w:bottom w:val="double" w:sz="4" w:space="0" w:color="auto"/>
            </w:tcBorders>
            <w:shd w:val="clear" w:color="auto" w:fill="C0C0C0"/>
            <w:vAlign w:val="center"/>
          </w:tcPr>
          <w:p w:rsidR="003C176C" w:rsidRPr="005E0820" w:rsidRDefault="003C176C" w:rsidP="003C176C">
            <w:pPr>
              <w:jc w:val="right"/>
              <w:rPr>
                <w:snapToGrid w:val="0"/>
                <w:color w:val="FF0000"/>
                <w:lang w:val="en-US" w:eastAsia="en-US"/>
              </w:rPr>
            </w:pPr>
          </w:p>
        </w:tc>
        <w:tc>
          <w:tcPr>
            <w:tcW w:w="543" w:type="pct"/>
            <w:tcBorders>
              <w:top w:val="double" w:sz="4" w:space="0" w:color="auto"/>
              <w:bottom w:val="double" w:sz="4" w:space="0" w:color="auto"/>
            </w:tcBorders>
            <w:shd w:val="clear" w:color="auto" w:fill="C0C0C0"/>
            <w:vAlign w:val="center"/>
          </w:tcPr>
          <w:p w:rsidR="003C176C" w:rsidRPr="005E0820" w:rsidRDefault="003C176C" w:rsidP="003C176C">
            <w:pPr>
              <w:jc w:val="right"/>
              <w:rPr>
                <w:snapToGrid w:val="0"/>
                <w:color w:val="FF0000"/>
                <w:lang w:val="en-US" w:eastAsia="en-US"/>
              </w:rPr>
            </w:pPr>
          </w:p>
        </w:tc>
        <w:tc>
          <w:tcPr>
            <w:tcW w:w="575" w:type="pct"/>
            <w:gridSpan w:val="3"/>
            <w:tcBorders>
              <w:top w:val="double" w:sz="4" w:space="0" w:color="auto"/>
              <w:bottom w:val="double" w:sz="4" w:space="0" w:color="auto"/>
            </w:tcBorders>
            <w:shd w:val="clear" w:color="auto" w:fill="C0C0C0"/>
            <w:vAlign w:val="center"/>
          </w:tcPr>
          <w:p w:rsidR="003C176C" w:rsidRPr="005E0820" w:rsidRDefault="003C176C" w:rsidP="003C176C">
            <w:pPr>
              <w:jc w:val="right"/>
              <w:rPr>
                <w:snapToGrid w:val="0"/>
                <w:color w:val="FF0000"/>
                <w:lang w:val="en-US" w:eastAsia="en-US"/>
              </w:rPr>
            </w:pPr>
          </w:p>
        </w:tc>
        <w:tc>
          <w:tcPr>
            <w:tcW w:w="809" w:type="pct"/>
            <w:gridSpan w:val="3"/>
            <w:tcBorders>
              <w:top w:val="double" w:sz="4" w:space="0" w:color="auto"/>
              <w:bottom w:val="double" w:sz="4" w:space="0" w:color="auto"/>
            </w:tcBorders>
            <w:shd w:val="clear" w:color="auto" w:fill="C0C0C0"/>
            <w:vAlign w:val="center"/>
          </w:tcPr>
          <w:p w:rsidR="003C176C" w:rsidRPr="005E0820" w:rsidRDefault="003C176C" w:rsidP="003C176C">
            <w:pPr>
              <w:jc w:val="right"/>
              <w:rPr>
                <w:snapToGrid w:val="0"/>
                <w:color w:val="FF0000"/>
                <w:lang w:val="en-US" w:eastAsia="en-US"/>
              </w:rPr>
            </w:pPr>
          </w:p>
        </w:tc>
        <w:tc>
          <w:tcPr>
            <w:tcW w:w="842" w:type="pct"/>
            <w:tcBorders>
              <w:top w:val="double" w:sz="4" w:space="0" w:color="auto"/>
              <w:bottom w:val="double" w:sz="4" w:space="0" w:color="auto"/>
              <w:right w:val="double" w:sz="4" w:space="0" w:color="auto"/>
            </w:tcBorders>
            <w:shd w:val="clear" w:color="auto" w:fill="C0C0C0"/>
            <w:vAlign w:val="center"/>
          </w:tcPr>
          <w:p w:rsidR="003C176C" w:rsidRPr="005E0820" w:rsidRDefault="003C176C" w:rsidP="003C176C">
            <w:pPr>
              <w:jc w:val="right"/>
              <w:rPr>
                <w:snapToGrid w:val="0"/>
                <w:color w:val="FF0000"/>
                <w:lang w:val="en-US" w:eastAsia="en-US"/>
              </w:rPr>
            </w:pPr>
          </w:p>
        </w:tc>
      </w:tr>
      <w:tr w:rsidR="003C176C" w:rsidRPr="002A3EAD" w:rsidTr="00C87E50">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1035"/>
          <w:jc w:val="right"/>
        </w:trPr>
        <w:tc>
          <w:tcPr>
            <w:tcW w:w="1648" w:type="pct"/>
            <w:gridSpan w:val="2"/>
            <w:tcBorders>
              <w:top w:val="double" w:sz="4" w:space="0" w:color="auto"/>
              <w:bottom w:val="single" w:sz="4" w:space="0" w:color="auto"/>
            </w:tcBorders>
          </w:tcPr>
          <w:p w:rsidR="003C176C" w:rsidRPr="002A3EAD" w:rsidRDefault="003C176C" w:rsidP="003C176C">
            <w:pPr>
              <w:rPr>
                <w:b/>
                <w:lang w:val="ru-RU"/>
              </w:rPr>
            </w:pPr>
          </w:p>
          <w:p w:rsidR="003C176C" w:rsidRPr="002A3EAD" w:rsidRDefault="003C176C" w:rsidP="003C176C">
            <w:pPr>
              <w:rPr>
                <w:b/>
                <w:lang w:val="ru-RU"/>
              </w:rPr>
            </w:pPr>
          </w:p>
          <w:p w:rsidR="003C176C" w:rsidRPr="002A3EAD" w:rsidRDefault="003C176C" w:rsidP="003C176C">
            <w:pPr>
              <w:jc w:val="center"/>
              <w:rPr>
                <w:b/>
              </w:rPr>
            </w:pPr>
            <w:r w:rsidRPr="002A3EAD">
              <w:rPr>
                <w:b/>
              </w:rPr>
              <w:t>ПРИХОДИ</w:t>
            </w:r>
            <w:r w:rsidRPr="002A3EAD">
              <w:rPr>
                <w:b/>
                <w:lang w:val="ru-RU"/>
              </w:rPr>
              <w:t xml:space="preserve"> </w:t>
            </w:r>
            <w:r w:rsidRPr="002A3EAD">
              <w:rPr>
                <w:b/>
              </w:rPr>
              <w:t>(хил. лв.</w:t>
            </w:r>
            <w:r w:rsidRPr="002A3EAD">
              <w:rPr>
                <w:b/>
                <w:lang w:val="en-US"/>
              </w:rPr>
              <w:t>)</w:t>
            </w:r>
          </w:p>
        </w:tc>
        <w:tc>
          <w:tcPr>
            <w:tcW w:w="570" w:type="pct"/>
            <w:tcBorders>
              <w:top w:val="double" w:sz="4" w:space="0" w:color="auto"/>
              <w:bottom w:val="single" w:sz="4" w:space="0" w:color="auto"/>
            </w:tcBorders>
            <w:vAlign w:val="center"/>
          </w:tcPr>
          <w:p w:rsidR="003C176C" w:rsidRPr="002A3EAD" w:rsidRDefault="003C176C" w:rsidP="003C176C">
            <w:pPr>
              <w:jc w:val="center"/>
              <w:rPr>
                <w:b/>
              </w:rPr>
            </w:pPr>
            <w:r w:rsidRPr="002A3EAD">
              <w:rPr>
                <w:b/>
              </w:rPr>
              <w:t>Отчетен период</w:t>
            </w:r>
          </w:p>
        </w:tc>
        <w:tc>
          <w:tcPr>
            <w:tcW w:w="581" w:type="pct"/>
            <w:gridSpan w:val="3"/>
            <w:tcBorders>
              <w:top w:val="double" w:sz="4" w:space="0" w:color="auto"/>
              <w:bottom w:val="single" w:sz="4" w:space="0" w:color="auto"/>
            </w:tcBorders>
            <w:vAlign w:val="center"/>
          </w:tcPr>
          <w:p w:rsidR="003C176C" w:rsidRPr="002A3EAD" w:rsidRDefault="003C176C" w:rsidP="003C176C">
            <w:pPr>
              <w:jc w:val="center"/>
              <w:rPr>
                <w:b/>
              </w:rPr>
            </w:pPr>
            <w:r w:rsidRPr="002A3EAD">
              <w:rPr>
                <w:b/>
              </w:rPr>
              <w:t>ГФП  201</w:t>
            </w:r>
            <w:r>
              <w:rPr>
                <w:b/>
                <w:lang w:val="en-US"/>
              </w:rPr>
              <w:t>8</w:t>
            </w:r>
            <w:r w:rsidRPr="002A3EAD">
              <w:rPr>
                <w:b/>
                <w:lang w:val="en-US"/>
              </w:rPr>
              <w:t xml:space="preserve"> </w:t>
            </w:r>
            <w:r w:rsidRPr="002A3EAD">
              <w:rPr>
                <w:b/>
              </w:rPr>
              <w:t>г.</w:t>
            </w:r>
            <w:r w:rsidRPr="002A3EAD">
              <w:rPr>
                <w:b/>
                <w:lang w:val="en-US"/>
              </w:rPr>
              <w:t xml:space="preserve"> </w:t>
            </w:r>
          </w:p>
        </w:tc>
        <w:tc>
          <w:tcPr>
            <w:tcW w:w="550" w:type="pct"/>
            <w:gridSpan w:val="2"/>
            <w:tcBorders>
              <w:top w:val="double" w:sz="4" w:space="0" w:color="auto"/>
              <w:bottom w:val="single" w:sz="4" w:space="0" w:color="auto"/>
            </w:tcBorders>
            <w:vAlign w:val="center"/>
          </w:tcPr>
          <w:p w:rsidR="003C176C" w:rsidRPr="002A3EAD" w:rsidRDefault="003C176C" w:rsidP="003C176C">
            <w:pPr>
              <w:jc w:val="center"/>
              <w:rPr>
                <w:b/>
                <w:lang w:val="en-US"/>
              </w:rPr>
            </w:pPr>
            <w:r w:rsidRPr="002A3EAD">
              <w:rPr>
                <w:b/>
              </w:rPr>
              <w:t>1/2</w:t>
            </w:r>
          </w:p>
          <w:p w:rsidR="003C176C" w:rsidRPr="002A3EAD" w:rsidRDefault="003C176C" w:rsidP="003C176C">
            <w:pPr>
              <w:jc w:val="center"/>
              <w:rPr>
                <w:b/>
              </w:rPr>
            </w:pPr>
            <w:r w:rsidRPr="002A3EAD">
              <w:rPr>
                <w:b/>
              </w:rPr>
              <w:t>(%)</w:t>
            </w:r>
          </w:p>
        </w:tc>
        <w:tc>
          <w:tcPr>
            <w:tcW w:w="781" w:type="pct"/>
            <w:tcBorders>
              <w:top w:val="double" w:sz="4" w:space="0" w:color="auto"/>
              <w:bottom w:val="single" w:sz="4" w:space="0" w:color="auto"/>
            </w:tcBorders>
            <w:vAlign w:val="center"/>
          </w:tcPr>
          <w:p w:rsidR="003C176C" w:rsidRPr="002A3EAD" w:rsidRDefault="003C176C" w:rsidP="003C176C">
            <w:pPr>
              <w:jc w:val="center"/>
              <w:rPr>
                <w:b/>
              </w:rPr>
            </w:pPr>
            <w:r w:rsidRPr="002A3EAD">
              <w:rPr>
                <w:b/>
              </w:rPr>
              <w:t>съответен период на предходна година</w:t>
            </w:r>
          </w:p>
        </w:tc>
        <w:tc>
          <w:tcPr>
            <w:tcW w:w="870" w:type="pct"/>
            <w:gridSpan w:val="3"/>
            <w:tcBorders>
              <w:top w:val="double" w:sz="4" w:space="0" w:color="auto"/>
              <w:bottom w:val="single" w:sz="4" w:space="0" w:color="auto"/>
            </w:tcBorders>
            <w:vAlign w:val="center"/>
          </w:tcPr>
          <w:p w:rsidR="003C176C" w:rsidRPr="002A3EAD" w:rsidRDefault="003C176C" w:rsidP="003C176C">
            <w:pPr>
              <w:jc w:val="center"/>
              <w:rPr>
                <w:b/>
                <w:lang w:val="en-US"/>
              </w:rPr>
            </w:pPr>
            <w:r w:rsidRPr="002A3EAD">
              <w:rPr>
                <w:b/>
              </w:rPr>
              <w:t>1/3</w:t>
            </w:r>
          </w:p>
          <w:p w:rsidR="003C176C" w:rsidRPr="002A3EAD" w:rsidRDefault="003C176C" w:rsidP="003C176C">
            <w:pPr>
              <w:jc w:val="center"/>
              <w:rPr>
                <w:b/>
              </w:rPr>
            </w:pPr>
            <w:r w:rsidRPr="002A3EAD">
              <w:rPr>
                <w:b/>
              </w:rPr>
              <w:t>(%)</w:t>
            </w:r>
          </w:p>
        </w:tc>
      </w:tr>
      <w:tr w:rsidR="005735FA" w:rsidRPr="002A3EAD" w:rsidTr="005735FA">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255"/>
          <w:jc w:val="right"/>
        </w:trPr>
        <w:tc>
          <w:tcPr>
            <w:tcW w:w="1648" w:type="pct"/>
            <w:gridSpan w:val="2"/>
            <w:tcBorders>
              <w:top w:val="single" w:sz="4" w:space="0" w:color="auto"/>
              <w:bottom w:val="single" w:sz="4" w:space="0" w:color="auto"/>
              <w:right w:val="single" w:sz="4" w:space="0" w:color="auto"/>
            </w:tcBorders>
            <w:vAlign w:val="center"/>
          </w:tcPr>
          <w:p w:rsidR="005735FA" w:rsidRPr="002A3EAD" w:rsidRDefault="005735FA" w:rsidP="005735FA">
            <w:pPr>
              <w:rPr>
                <w:snapToGrid w:val="0"/>
                <w:lang w:eastAsia="en-US"/>
              </w:rPr>
            </w:pPr>
            <w:r>
              <w:rPr>
                <w:snapToGrid w:val="0"/>
                <w:lang w:eastAsia="en-US"/>
              </w:rPr>
              <w:t>с</w:t>
            </w:r>
            <w:r w:rsidRPr="002A3EAD">
              <w:rPr>
                <w:snapToGrid w:val="0"/>
                <w:lang w:eastAsia="en-US"/>
              </w:rPr>
              <w:t>ъбрани такси „прелитане”</w:t>
            </w:r>
          </w:p>
        </w:tc>
        <w:tc>
          <w:tcPr>
            <w:tcW w:w="570" w:type="pct"/>
            <w:tcBorders>
              <w:top w:val="single" w:sz="4" w:space="0" w:color="auto"/>
              <w:left w:val="single" w:sz="4" w:space="0" w:color="auto"/>
              <w:bottom w:val="single" w:sz="4" w:space="0" w:color="auto"/>
              <w:right w:val="single" w:sz="4" w:space="0" w:color="auto"/>
            </w:tcBorders>
            <w:shd w:val="clear" w:color="auto" w:fill="auto"/>
            <w:vAlign w:val="bottom"/>
          </w:tcPr>
          <w:p w:rsidR="005735FA" w:rsidRPr="005735FA" w:rsidRDefault="005735FA" w:rsidP="005735FA">
            <w:pPr>
              <w:jc w:val="right"/>
              <w:rPr>
                <w:lang w:eastAsia="bg-BG"/>
              </w:rPr>
            </w:pPr>
            <w:r w:rsidRPr="005735FA">
              <w:t>142,842</w:t>
            </w:r>
          </w:p>
        </w:tc>
        <w:tc>
          <w:tcPr>
            <w:tcW w:w="581" w:type="pct"/>
            <w:gridSpan w:val="3"/>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141,094</w:t>
            </w:r>
          </w:p>
        </w:tc>
        <w:tc>
          <w:tcPr>
            <w:tcW w:w="550" w:type="pct"/>
            <w:gridSpan w:val="2"/>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1.2%</w:t>
            </w:r>
          </w:p>
        </w:tc>
        <w:tc>
          <w:tcPr>
            <w:tcW w:w="781" w:type="pct"/>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123,716</w:t>
            </w:r>
          </w:p>
        </w:tc>
        <w:tc>
          <w:tcPr>
            <w:tcW w:w="870" w:type="pct"/>
            <w:gridSpan w:val="3"/>
            <w:tcBorders>
              <w:top w:val="single" w:sz="4" w:space="0" w:color="auto"/>
              <w:left w:val="nil"/>
              <w:bottom w:val="single" w:sz="4" w:space="0" w:color="auto"/>
              <w:right w:val="double" w:sz="4" w:space="0" w:color="auto"/>
            </w:tcBorders>
            <w:shd w:val="clear" w:color="auto" w:fill="auto"/>
            <w:vAlign w:val="bottom"/>
          </w:tcPr>
          <w:p w:rsidR="005735FA" w:rsidRPr="005735FA" w:rsidRDefault="005735FA" w:rsidP="005735FA">
            <w:pPr>
              <w:jc w:val="right"/>
            </w:pPr>
            <w:r w:rsidRPr="005735FA">
              <w:t>15.5%</w:t>
            </w:r>
          </w:p>
        </w:tc>
      </w:tr>
      <w:tr w:rsidR="005735FA" w:rsidRPr="002A3EAD" w:rsidTr="005735FA">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255"/>
          <w:jc w:val="right"/>
        </w:trPr>
        <w:tc>
          <w:tcPr>
            <w:tcW w:w="1648" w:type="pct"/>
            <w:gridSpan w:val="2"/>
            <w:tcBorders>
              <w:top w:val="single" w:sz="4" w:space="0" w:color="auto"/>
              <w:bottom w:val="single" w:sz="4" w:space="0" w:color="auto"/>
              <w:right w:val="single" w:sz="4" w:space="0" w:color="auto"/>
            </w:tcBorders>
            <w:vAlign w:val="center"/>
          </w:tcPr>
          <w:p w:rsidR="005735FA" w:rsidRPr="002A3EAD" w:rsidRDefault="005735FA" w:rsidP="005735FA">
            <w:pPr>
              <w:rPr>
                <w:snapToGrid w:val="0"/>
                <w:lang w:val="en-US" w:eastAsia="en-US"/>
              </w:rPr>
            </w:pPr>
            <w:r w:rsidRPr="002A3EAD">
              <w:rPr>
                <w:snapToGrid w:val="0"/>
                <w:lang w:val="en-US" w:eastAsia="en-US"/>
              </w:rPr>
              <w:t xml:space="preserve">събрани такси </w:t>
            </w:r>
            <w:r w:rsidRPr="002A3EAD">
              <w:rPr>
                <w:snapToGrid w:val="0"/>
                <w:lang w:eastAsia="en-US"/>
              </w:rPr>
              <w:t>„</w:t>
            </w:r>
            <w:r w:rsidRPr="002A3EAD">
              <w:rPr>
                <w:snapToGrid w:val="0"/>
                <w:lang w:val="en-US" w:eastAsia="en-US"/>
              </w:rPr>
              <w:t>подход”</w:t>
            </w:r>
          </w:p>
        </w:tc>
        <w:tc>
          <w:tcPr>
            <w:tcW w:w="570" w:type="pct"/>
            <w:tcBorders>
              <w:top w:val="single" w:sz="4" w:space="0" w:color="auto"/>
              <w:left w:val="single" w:sz="4" w:space="0" w:color="auto"/>
              <w:bottom w:val="single" w:sz="4" w:space="0" w:color="auto"/>
              <w:right w:val="single" w:sz="4" w:space="0" w:color="auto"/>
            </w:tcBorders>
            <w:shd w:val="clear" w:color="auto" w:fill="auto"/>
            <w:vAlign w:val="bottom"/>
          </w:tcPr>
          <w:p w:rsidR="005735FA" w:rsidRPr="005735FA" w:rsidRDefault="005735FA" w:rsidP="005735FA">
            <w:pPr>
              <w:jc w:val="right"/>
            </w:pPr>
            <w:r w:rsidRPr="005735FA">
              <w:t>15,491</w:t>
            </w:r>
          </w:p>
        </w:tc>
        <w:tc>
          <w:tcPr>
            <w:tcW w:w="581" w:type="pct"/>
            <w:gridSpan w:val="3"/>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14,827</w:t>
            </w:r>
          </w:p>
        </w:tc>
        <w:tc>
          <w:tcPr>
            <w:tcW w:w="550" w:type="pct"/>
            <w:gridSpan w:val="2"/>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4.5%</w:t>
            </w:r>
          </w:p>
        </w:tc>
        <w:tc>
          <w:tcPr>
            <w:tcW w:w="781" w:type="pct"/>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15,761</w:t>
            </w:r>
          </w:p>
        </w:tc>
        <w:tc>
          <w:tcPr>
            <w:tcW w:w="870" w:type="pct"/>
            <w:gridSpan w:val="3"/>
            <w:tcBorders>
              <w:top w:val="single" w:sz="4" w:space="0" w:color="auto"/>
              <w:left w:val="nil"/>
              <w:bottom w:val="single" w:sz="4" w:space="0" w:color="auto"/>
              <w:right w:val="double" w:sz="4" w:space="0" w:color="auto"/>
            </w:tcBorders>
            <w:shd w:val="clear" w:color="auto" w:fill="auto"/>
            <w:vAlign w:val="bottom"/>
          </w:tcPr>
          <w:p w:rsidR="005735FA" w:rsidRPr="005735FA" w:rsidRDefault="005735FA" w:rsidP="005735FA">
            <w:pPr>
              <w:jc w:val="right"/>
            </w:pPr>
            <w:r w:rsidRPr="005735FA">
              <w:t>-1.7%</w:t>
            </w:r>
          </w:p>
        </w:tc>
      </w:tr>
      <w:tr w:rsidR="005735FA" w:rsidRPr="002A3EAD" w:rsidTr="005735FA">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255"/>
          <w:jc w:val="right"/>
        </w:trPr>
        <w:tc>
          <w:tcPr>
            <w:tcW w:w="1648" w:type="pct"/>
            <w:gridSpan w:val="2"/>
            <w:tcBorders>
              <w:top w:val="single" w:sz="4" w:space="0" w:color="auto"/>
              <w:bottom w:val="single" w:sz="4" w:space="0" w:color="auto"/>
              <w:right w:val="single" w:sz="4" w:space="0" w:color="auto"/>
            </w:tcBorders>
            <w:vAlign w:val="center"/>
          </w:tcPr>
          <w:p w:rsidR="005735FA" w:rsidRPr="002A3EAD" w:rsidRDefault="005735FA" w:rsidP="005735FA">
            <w:pPr>
              <w:rPr>
                <w:snapToGrid w:val="0"/>
                <w:lang w:val="ru-RU" w:eastAsia="en-US"/>
              </w:rPr>
            </w:pPr>
            <w:r w:rsidRPr="002A3EAD">
              <w:rPr>
                <w:snapToGrid w:val="0"/>
                <w:lang w:val="ru-RU" w:eastAsia="en-US"/>
              </w:rPr>
              <w:t xml:space="preserve">събрани такси </w:t>
            </w:r>
            <w:r w:rsidRPr="002A3EAD">
              <w:rPr>
                <w:snapToGrid w:val="0"/>
                <w:lang w:eastAsia="en-US"/>
              </w:rPr>
              <w:t>„</w:t>
            </w:r>
            <w:r w:rsidRPr="002A3EAD">
              <w:rPr>
                <w:snapToGrid w:val="0"/>
                <w:lang w:val="ru-RU" w:eastAsia="en-US"/>
              </w:rPr>
              <w:t xml:space="preserve">прелитане”и </w:t>
            </w:r>
            <w:r w:rsidRPr="002A3EAD">
              <w:rPr>
                <w:snapToGrid w:val="0"/>
                <w:lang w:eastAsia="en-US"/>
              </w:rPr>
              <w:t>„</w:t>
            </w:r>
            <w:r w:rsidRPr="002A3EAD">
              <w:rPr>
                <w:snapToGrid w:val="0"/>
                <w:lang w:val="ru-RU" w:eastAsia="en-US"/>
              </w:rPr>
              <w:t>подход” фактурирани за период на летене до12.1997 г.</w:t>
            </w:r>
          </w:p>
        </w:tc>
        <w:tc>
          <w:tcPr>
            <w:tcW w:w="570" w:type="pct"/>
            <w:tcBorders>
              <w:top w:val="single" w:sz="4" w:space="0" w:color="auto"/>
              <w:left w:val="single" w:sz="4" w:space="0" w:color="auto"/>
              <w:bottom w:val="single" w:sz="4" w:space="0" w:color="auto"/>
              <w:right w:val="single" w:sz="4" w:space="0" w:color="auto"/>
            </w:tcBorders>
            <w:shd w:val="clear" w:color="auto" w:fill="auto"/>
            <w:vAlign w:val="bottom"/>
          </w:tcPr>
          <w:p w:rsidR="005735FA" w:rsidRPr="005735FA" w:rsidRDefault="005735FA" w:rsidP="005735FA">
            <w:r w:rsidRPr="005735FA">
              <w:t> </w:t>
            </w:r>
          </w:p>
        </w:tc>
        <w:tc>
          <w:tcPr>
            <w:tcW w:w="581" w:type="pct"/>
            <w:gridSpan w:val="3"/>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r w:rsidRPr="005735FA">
              <w:t> </w:t>
            </w:r>
          </w:p>
        </w:tc>
        <w:tc>
          <w:tcPr>
            <w:tcW w:w="550" w:type="pct"/>
            <w:gridSpan w:val="2"/>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r w:rsidRPr="005735FA">
              <w:t> </w:t>
            </w:r>
          </w:p>
        </w:tc>
        <w:tc>
          <w:tcPr>
            <w:tcW w:w="781" w:type="pct"/>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r w:rsidRPr="005735FA">
              <w:t> </w:t>
            </w:r>
          </w:p>
        </w:tc>
        <w:tc>
          <w:tcPr>
            <w:tcW w:w="870" w:type="pct"/>
            <w:gridSpan w:val="3"/>
            <w:tcBorders>
              <w:top w:val="single" w:sz="4" w:space="0" w:color="auto"/>
              <w:left w:val="nil"/>
              <w:bottom w:val="single" w:sz="4" w:space="0" w:color="auto"/>
              <w:right w:val="double" w:sz="4" w:space="0" w:color="auto"/>
            </w:tcBorders>
            <w:shd w:val="clear" w:color="auto" w:fill="auto"/>
            <w:vAlign w:val="bottom"/>
          </w:tcPr>
          <w:p w:rsidR="005735FA" w:rsidRPr="005735FA" w:rsidRDefault="005735FA" w:rsidP="005735FA">
            <w:pPr>
              <w:jc w:val="center"/>
            </w:pPr>
          </w:p>
        </w:tc>
      </w:tr>
      <w:tr w:rsidR="005735FA" w:rsidRPr="002A3EAD" w:rsidTr="005735FA">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70"/>
          <w:jc w:val="right"/>
        </w:trPr>
        <w:tc>
          <w:tcPr>
            <w:tcW w:w="1648" w:type="pct"/>
            <w:gridSpan w:val="2"/>
            <w:tcBorders>
              <w:top w:val="single" w:sz="4" w:space="0" w:color="auto"/>
              <w:bottom w:val="single" w:sz="4" w:space="0" w:color="auto"/>
              <w:right w:val="single" w:sz="4" w:space="0" w:color="auto"/>
            </w:tcBorders>
            <w:vAlign w:val="center"/>
          </w:tcPr>
          <w:p w:rsidR="005735FA" w:rsidRPr="00B31F38" w:rsidRDefault="005735FA" w:rsidP="005735FA">
            <w:pPr>
              <w:rPr>
                <w:b/>
                <w:snapToGrid w:val="0"/>
                <w:lang w:val="en-US" w:eastAsia="en-US"/>
              </w:rPr>
            </w:pPr>
            <w:r w:rsidRPr="00B31F38">
              <w:rPr>
                <w:b/>
                <w:snapToGrid w:val="0"/>
                <w:lang w:val="en-US" w:eastAsia="en-US"/>
              </w:rPr>
              <w:t xml:space="preserve">Общо събрани такси </w:t>
            </w:r>
          </w:p>
        </w:tc>
        <w:tc>
          <w:tcPr>
            <w:tcW w:w="570" w:type="pct"/>
            <w:tcBorders>
              <w:top w:val="single" w:sz="4" w:space="0" w:color="auto"/>
              <w:left w:val="single" w:sz="4" w:space="0" w:color="auto"/>
              <w:bottom w:val="single" w:sz="4" w:space="0" w:color="auto"/>
              <w:right w:val="single" w:sz="4" w:space="0" w:color="auto"/>
            </w:tcBorders>
            <w:shd w:val="clear" w:color="auto" w:fill="auto"/>
            <w:vAlign w:val="bottom"/>
          </w:tcPr>
          <w:p w:rsidR="005735FA" w:rsidRPr="005735FA" w:rsidRDefault="005735FA" w:rsidP="005735FA">
            <w:pPr>
              <w:jc w:val="right"/>
            </w:pPr>
            <w:r w:rsidRPr="005735FA">
              <w:t>158,333</w:t>
            </w:r>
          </w:p>
        </w:tc>
        <w:tc>
          <w:tcPr>
            <w:tcW w:w="581" w:type="pct"/>
            <w:gridSpan w:val="3"/>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155,921</w:t>
            </w:r>
          </w:p>
        </w:tc>
        <w:tc>
          <w:tcPr>
            <w:tcW w:w="550" w:type="pct"/>
            <w:gridSpan w:val="2"/>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1.5%</w:t>
            </w:r>
          </w:p>
        </w:tc>
        <w:tc>
          <w:tcPr>
            <w:tcW w:w="781" w:type="pct"/>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139,477</w:t>
            </w:r>
          </w:p>
        </w:tc>
        <w:tc>
          <w:tcPr>
            <w:tcW w:w="870" w:type="pct"/>
            <w:gridSpan w:val="3"/>
            <w:tcBorders>
              <w:top w:val="single" w:sz="4" w:space="0" w:color="auto"/>
              <w:left w:val="nil"/>
              <w:bottom w:val="single" w:sz="4" w:space="0" w:color="auto"/>
              <w:right w:val="double" w:sz="4" w:space="0" w:color="auto"/>
            </w:tcBorders>
            <w:shd w:val="clear" w:color="auto" w:fill="auto"/>
            <w:vAlign w:val="bottom"/>
          </w:tcPr>
          <w:p w:rsidR="005735FA" w:rsidRPr="005735FA" w:rsidRDefault="005735FA" w:rsidP="005735FA">
            <w:pPr>
              <w:jc w:val="right"/>
            </w:pPr>
            <w:r w:rsidRPr="005735FA">
              <w:t>13.5%</w:t>
            </w:r>
          </w:p>
        </w:tc>
      </w:tr>
      <w:tr w:rsidR="005735FA" w:rsidRPr="002A3EAD" w:rsidTr="005735FA">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255"/>
          <w:jc w:val="right"/>
        </w:trPr>
        <w:tc>
          <w:tcPr>
            <w:tcW w:w="1648" w:type="pct"/>
            <w:gridSpan w:val="2"/>
            <w:tcBorders>
              <w:top w:val="single" w:sz="4" w:space="0" w:color="auto"/>
              <w:bottom w:val="single" w:sz="4" w:space="0" w:color="auto"/>
              <w:right w:val="single" w:sz="4" w:space="0" w:color="auto"/>
            </w:tcBorders>
            <w:vAlign w:val="center"/>
          </w:tcPr>
          <w:p w:rsidR="005735FA" w:rsidRPr="002A3EAD" w:rsidRDefault="005735FA" w:rsidP="005735FA">
            <w:pPr>
              <w:rPr>
                <w:snapToGrid w:val="0"/>
                <w:lang w:val="en-US" w:eastAsia="en-US"/>
              </w:rPr>
            </w:pPr>
            <w:r w:rsidRPr="002A3EAD">
              <w:rPr>
                <w:snapToGrid w:val="0"/>
                <w:lang w:val="en-US" w:eastAsia="en-US"/>
              </w:rPr>
              <w:t xml:space="preserve">начислени такси </w:t>
            </w:r>
            <w:r w:rsidRPr="002A3EAD">
              <w:rPr>
                <w:snapToGrid w:val="0"/>
                <w:lang w:eastAsia="en-US"/>
              </w:rPr>
              <w:t>„</w:t>
            </w:r>
            <w:r w:rsidRPr="002A3EAD">
              <w:rPr>
                <w:snapToGrid w:val="0"/>
                <w:lang w:val="en-US" w:eastAsia="en-US"/>
              </w:rPr>
              <w:t>прелитане”</w:t>
            </w:r>
          </w:p>
        </w:tc>
        <w:tc>
          <w:tcPr>
            <w:tcW w:w="570" w:type="pct"/>
            <w:tcBorders>
              <w:top w:val="single" w:sz="4" w:space="0" w:color="auto"/>
              <w:left w:val="single" w:sz="4" w:space="0" w:color="auto"/>
              <w:bottom w:val="single" w:sz="4" w:space="0" w:color="auto"/>
              <w:right w:val="single" w:sz="4" w:space="0" w:color="auto"/>
            </w:tcBorders>
            <w:shd w:val="clear" w:color="auto" w:fill="auto"/>
            <w:vAlign w:val="bottom"/>
          </w:tcPr>
          <w:p w:rsidR="005735FA" w:rsidRPr="005735FA" w:rsidRDefault="005735FA" w:rsidP="005735FA">
            <w:pPr>
              <w:jc w:val="right"/>
            </w:pPr>
            <w:r w:rsidRPr="005735FA">
              <w:t>147,518</w:t>
            </w:r>
          </w:p>
        </w:tc>
        <w:tc>
          <w:tcPr>
            <w:tcW w:w="581" w:type="pct"/>
            <w:gridSpan w:val="3"/>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146,499</w:t>
            </w:r>
          </w:p>
        </w:tc>
        <w:tc>
          <w:tcPr>
            <w:tcW w:w="550" w:type="pct"/>
            <w:gridSpan w:val="2"/>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0.7%</w:t>
            </w:r>
          </w:p>
        </w:tc>
        <w:tc>
          <w:tcPr>
            <w:tcW w:w="781" w:type="pct"/>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131,747</w:t>
            </w:r>
          </w:p>
        </w:tc>
        <w:tc>
          <w:tcPr>
            <w:tcW w:w="870" w:type="pct"/>
            <w:gridSpan w:val="3"/>
            <w:tcBorders>
              <w:top w:val="single" w:sz="4" w:space="0" w:color="auto"/>
              <w:left w:val="nil"/>
              <w:bottom w:val="single" w:sz="4" w:space="0" w:color="auto"/>
              <w:right w:val="double" w:sz="4" w:space="0" w:color="auto"/>
            </w:tcBorders>
            <w:shd w:val="clear" w:color="auto" w:fill="auto"/>
            <w:vAlign w:val="bottom"/>
          </w:tcPr>
          <w:p w:rsidR="005735FA" w:rsidRPr="005735FA" w:rsidRDefault="005735FA" w:rsidP="005735FA">
            <w:pPr>
              <w:jc w:val="right"/>
            </w:pPr>
            <w:r w:rsidRPr="005735FA">
              <w:t>12.0%</w:t>
            </w:r>
          </w:p>
        </w:tc>
      </w:tr>
      <w:tr w:rsidR="005735FA" w:rsidRPr="008061BB" w:rsidTr="005735FA">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255"/>
          <w:jc w:val="right"/>
        </w:trPr>
        <w:tc>
          <w:tcPr>
            <w:tcW w:w="1648" w:type="pct"/>
            <w:gridSpan w:val="2"/>
            <w:tcBorders>
              <w:top w:val="single" w:sz="4" w:space="0" w:color="auto"/>
              <w:bottom w:val="single" w:sz="4" w:space="0" w:color="auto"/>
              <w:right w:val="single" w:sz="4" w:space="0" w:color="auto"/>
            </w:tcBorders>
            <w:vAlign w:val="center"/>
          </w:tcPr>
          <w:p w:rsidR="005735FA" w:rsidRPr="008061BB" w:rsidRDefault="005735FA" w:rsidP="005735FA">
            <w:pPr>
              <w:rPr>
                <w:snapToGrid w:val="0"/>
                <w:lang w:val="en-US" w:eastAsia="en-US"/>
              </w:rPr>
            </w:pPr>
            <w:r w:rsidRPr="008061BB">
              <w:rPr>
                <w:snapToGrid w:val="0"/>
                <w:lang w:val="en-US" w:eastAsia="en-US"/>
              </w:rPr>
              <w:t xml:space="preserve">начислени такси </w:t>
            </w:r>
            <w:r w:rsidRPr="008061BB">
              <w:rPr>
                <w:snapToGrid w:val="0"/>
                <w:lang w:eastAsia="en-US"/>
              </w:rPr>
              <w:t>„</w:t>
            </w:r>
            <w:r w:rsidRPr="008061BB">
              <w:rPr>
                <w:snapToGrid w:val="0"/>
                <w:lang w:val="en-US" w:eastAsia="en-US"/>
              </w:rPr>
              <w:t>подход”</w:t>
            </w:r>
          </w:p>
        </w:tc>
        <w:tc>
          <w:tcPr>
            <w:tcW w:w="570" w:type="pct"/>
            <w:tcBorders>
              <w:top w:val="single" w:sz="4" w:space="0" w:color="auto"/>
              <w:left w:val="single" w:sz="4" w:space="0" w:color="auto"/>
              <w:bottom w:val="single" w:sz="4" w:space="0" w:color="auto"/>
              <w:right w:val="single" w:sz="4" w:space="0" w:color="auto"/>
            </w:tcBorders>
            <w:shd w:val="clear" w:color="auto" w:fill="auto"/>
            <w:vAlign w:val="bottom"/>
          </w:tcPr>
          <w:p w:rsidR="005735FA" w:rsidRPr="005735FA" w:rsidRDefault="005735FA" w:rsidP="005735FA">
            <w:pPr>
              <w:jc w:val="right"/>
            </w:pPr>
            <w:r w:rsidRPr="005735FA">
              <w:t>18,556</w:t>
            </w:r>
          </w:p>
        </w:tc>
        <w:tc>
          <w:tcPr>
            <w:tcW w:w="581" w:type="pct"/>
            <w:gridSpan w:val="3"/>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18,990</w:t>
            </w:r>
          </w:p>
        </w:tc>
        <w:tc>
          <w:tcPr>
            <w:tcW w:w="550" w:type="pct"/>
            <w:gridSpan w:val="2"/>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-2.3%</w:t>
            </w:r>
          </w:p>
        </w:tc>
        <w:tc>
          <w:tcPr>
            <w:tcW w:w="781" w:type="pct"/>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18,936</w:t>
            </w:r>
          </w:p>
        </w:tc>
        <w:tc>
          <w:tcPr>
            <w:tcW w:w="870" w:type="pct"/>
            <w:gridSpan w:val="3"/>
            <w:tcBorders>
              <w:top w:val="single" w:sz="4" w:space="0" w:color="auto"/>
              <w:left w:val="nil"/>
              <w:bottom w:val="single" w:sz="4" w:space="0" w:color="auto"/>
              <w:right w:val="double" w:sz="4" w:space="0" w:color="auto"/>
            </w:tcBorders>
            <w:shd w:val="clear" w:color="auto" w:fill="auto"/>
            <w:vAlign w:val="bottom"/>
          </w:tcPr>
          <w:p w:rsidR="005735FA" w:rsidRPr="005735FA" w:rsidRDefault="005735FA" w:rsidP="005735FA">
            <w:pPr>
              <w:jc w:val="right"/>
            </w:pPr>
            <w:r w:rsidRPr="005735FA">
              <w:t>-2.0%</w:t>
            </w:r>
          </w:p>
        </w:tc>
      </w:tr>
      <w:tr w:rsidR="005735FA" w:rsidRPr="008061BB" w:rsidTr="005735FA">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255"/>
          <w:jc w:val="right"/>
        </w:trPr>
        <w:tc>
          <w:tcPr>
            <w:tcW w:w="1648" w:type="pct"/>
            <w:gridSpan w:val="2"/>
            <w:tcBorders>
              <w:top w:val="single" w:sz="4" w:space="0" w:color="auto"/>
              <w:bottom w:val="single" w:sz="4" w:space="0" w:color="auto"/>
              <w:right w:val="single" w:sz="4" w:space="0" w:color="auto"/>
            </w:tcBorders>
            <w:vAlign w:val="center"/>
          </w:tcPr>
          <w:p w:rsidR="005735FA" w:rsidRPr="008061BB" w:rsidRDefault="005735FA" w:rsidP="005735FA">
            <w:pPr>
              <w:rPr>
                <w:snapToGrid w:val="0"/>
                <w:lang w:val="en-US" w:eastAsia="en-US"/>
              </w:rPr>
            </w:pPr>
            <w:r w:rsidRPr="008061BB">
              <w:rPr>
                <w:snapToGrid w:val="0"/>
                <w:lang w:val="en-US" w:eastAsia="en-US"/>
              </w:rPr>
              <w:t>други приходи</w:t>
            </w:r>
          </w:p>
        </w:tc>
        <w:tc>
          <w:tcPr>
            <w:tcW w:w="570" w:type="pct"/>
            <w:tcBorders>
              <w:top w:val="single" w:sz="4" w:space="0" w:color="auto"/>
              <w:left w:val="single" w:sz="4" w:space="0" w:color="auto"/>
              <w:bottom w:val="single" w:sz="4" w:space="0" w:color="auto"/>
              <w:right w:val="single" w:sz="4" w:space="0" w:color="auto"/>
            </w:tcBorders>
            <w:shd w:val="clear" w:color="auto" w:fill="auto"/>
            <w:vAlign w:val="bottom"/>
          </w:tcPr>
          <w:p w:rsidR="005735FA" w:rsidRPr="005735FA" w:rsidRDefault="005735FA" w:rsidP="005735FA">
            <w:pPr>
              <w:jc w:val="right"/>
            </w:pPr>
            <w:r w:rsidRPr="005735FA">
              <w:t>482</w:t>
            </w:r>
          </w:p>
        </w:tc>
        <w:tc>
          <w:tcPr>
            <w:tcW w:w="581" w:type="pct"/>
            <w:gridSpan w:val="3"/>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666</w:t>
            </w:r>
          </w:p>
        </w:tc>
        <w:tc>
          <w:tcPr>
            <w:tcW w:w="550" w:type="pct"/>
            <w:gridSpan w:val="2"/>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-27.6%</w:t>
            </w:r>
          </w:p>
        </w:tc>
        <w:tc>
          <w:tcPr>
            <w:tcW w:w="781" w:type="pct"/>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pPr>
            <w:r w:rsidRPr="005735FA">
              <w:t>371</w:t>
            </w:r>
          </w:p>
        </w:tc>
        <w:tc>
          <w:tcPr>
            <w:tcW w:w="870" w:type="pct"/>
            <w:gridSpan w:val="3"/>
            <w:tcBorders>
              <w:top w:val="single" w:sz="4" w:space="0" w:color="auto"/>
              <w:left w:val="nil"/>
              <w:bottom w:val="single" w:sz="4" w:space="0" w:color="auto"/>
              <w:right w:val="double" w:sz="4" w:space="0" w:color="auto"/>
            </w:tcBorders>
            <w:shd w:val="clear" w:color="auto" w:fill="auto"/>
            <w:vAlign w:val="bottom"/>
          </w:tcPr>
          <w:p w:rsidR="005735FA" w:rsidRPr="005735FA" w:rsidRDefault="005735FA" w:rsidP="005735FA">
            <w:pPr>
              <w:jc w:val="right"/>
            </w:pPr>
            <w:r w:rsidRPr="005735FA">
              <w:t>29.9%</w:t>
            </w:r>
          </w:p>
        </w:tc>
      </w:tr>
      <w:tr w:rsidR="005735FA" w:rsidRPr="008061BB" w:rsidTr="005735FA">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255"/>
          <w:jc w:val="right"/>
        </w:trPr>
        <w:tc>
          <w:tcPr>
            <w:tcW w:w="1648" w:type="pct"/>
            <w:gridSpan w:val="2"/>
            <w:tcBorders>
              <w:top w:val="single" w:sz="4" w:space="0" w:color="auto"/>
              <w:bottom w:val="single" w:sz="4" w:space="0" w:color="auto"/>
              <w:right w:val="single" w:sz="4" w:space="0" w:color="auto"/>
            </w:tcBorders>
            <w:vAlign w:val="center"/>
          </w:tcPr>
          <w:p w:rsidR="005735FA" w:rsidRPr="00B31F38" w:rsidRDefault="005735FA" w:rsidP="005735FA">
            <w:pPr>
              <w:rPr>
                <w:b/>
                <w:snapToGrid w:val="0"/>
                <w:lang w:val="en-US" w:eastAsia="en-US"/>
              </w:rPr>
            </w:pPr>
            <w:r w:rsidRPr="00B31F38">
              <w:rPr>
                <w:b/>
                <w:snapToGrid w:val="0"/>
                <w:lang w:val="en-US" w:eastAsia="en-US"/>
              </w:rPr>
              <w:t xml:space="preserve">Общо приходи от дейността </w:t>
            </w:r>
          </w:p>
        </w:tc>
        <w:tc>
          <w:tcPr>
            <w:tcW w:w="570" w:type="pct"/>
            <w:tcBorders>
              <w:top w:val="single" w:sz="4" w:space="0" w:color="auto"/>
              <w:left w:val="single" w:sz="4" w:space="0" w:color="auto"/>
              <w:bottom w:val="single" w:sz="4" w:space="0" w:color="auto"/>
              <w:right w:val="single" w:sz="4" w:space="0" w:color="auto"/>
            </w:tcBorders>
            <w:shd w:val="clear" w:color="auto" w:fill="auto"/>
            <w:vAlign w:val="bottom"/>
          </w:tcPr>
          <w:p w:rsidR="005735FA" w:rsidRPr="005735FA" w:rsidRDefault="005735FA" w:rsidP="005735FA">
            <w:pPr>
              <w:jc w:val="right"/>
              <w:rPr>
                <w:b/>
                <w:bCs/>
              </w:rPr>
            </w:pPr>
            <w:r w:rsidRPr="005735FA">
              <w:rPr>
                <w:b/>
                <w:bCs/>
              </w:rPr>
              <w:t>166,556</w:t>
            </w:r>
          </w:p>
        </w:tc>
        <w:tc>
          <w:tcPr>
            <w:tcW w:w="581" w:type="pct"/>
            <w:gridSpan w:val="3"/>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rPr>
                <w:b/>
                <w:bCs/>
              </w:rPr>
            </w:pPr>
            <w:r w:rsidRPr="005735FA">
              <w:rPr>
                <w:b/>
                <w:bCs/>
              </w:rPr>
              <w:t>166,155</w:t>
            </w:r>
          </w:p>
        </w:tc>
        <w:tc>
          <w:tcPr>
            <w:tcW w:w="550" w:type="pct"/>
            <w:gridSpan w:val="2"/>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rPr>
                <w:b/>
                <w:bCs/>
              </w:rPr>
            </w:pPr>
            <w:r w:rsidRPr="005735FA">
              <w:rPr>
                <w:b/>
                <w:bCs/>
              </w:rPr>
              <w:t>0.2%</w:t>
            </w:r>
          </w:p>
        </w:tc>
        <w:tc>
          <w:tcPr>
            <w:tcW w:w="781" w:type="pct"/>
            <w:tcBorders>
              <w:top w:val="single" w:sz="4" w:space="0" w:color="auto"/>
              <w:left w:val="nil"/>
              <w:bottom w:val="single" w:sz="4" w:space="0" w:color="auto"/>
              <w:right w:val="single" w:sz="4" w:space="0" w:color="auto"/>
            </w:tcBorders>
            <w:shd w:val="clear" w:color="auto" w:fill="auto"/>
            <w:vAlign w:val="bottom"/>
          </w:tcPr>
          <w:p w:rsidR="005735FA" w:rsidRPr="005735FA" w:rsidRDefault="005735FA" w:rsidP="005735FA">
            <w:pPr>
              <w:jc w:val="right"/>
              <w:rPr>
                <w:b/>
                <w:bCs/>
              </w:rPr>
            </w:pPr>
            <w:r w:rsidRPr="005735FA">
              <w:rPr>
                <w:b/>
                <w:bCs/>
              </w:rPr>
              <w:t>151,054</w:t>
            </w:r>
          </w:p>
        </w:tc>
        <w:tc>
          <w:tcPr>
            <w:tcW w:w="870" w:type="pct"/>
            <w:gridSpan w:val="3"/>
            <w:tcBorders>
              <w:top w:val="single" w:sz="4" w:space="0" w:color="auto"/>
              <w:left w:val="nil"/>
              <w:bottom w:val="single" w:sz="4" w:space="0" w:color="auto"/>
              <w:right w:val="double" w:sz="4" w:space="0" w:color="auto"/>
            </w:tcBorders>
            <w:shd w:val="clear" w:color="auto" w:fill="auto"/>
            <w:vAlign w:val="bottom"/>
          </w:tcPr>
          <w:p w:rsidR="005735FA" w:rsidRPr="005735FA" w:rsidRDefault="005735FA" w:rsidP="005735FA">
            <w:pPr>
              <w:jc w:val="right"/>
              <w:rPr>
                <w:b/>
                <w:bCs/>
              </w:rPr>
            </w:pPr>
            <w:r w:rsidRPr="005735FA">
              <w:rPr>
                <w:b/>
                <w:bCs/>
              </w:rPr>
              <w:t>10.3%</w:t>
            </w:r>
          </w:p>
        </w:tc>
      </w:tr>
      <w:tr w:rsidR="005735FA" w:rsidRPr="008061BB" w:rsidTr="005735FA">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255"/>
          <w:jc w:val="right"/>
        </w:trPr>
        <w:tc>
          <w:tcPr>
            <w:tcW w:w="1648" w:type="pct"/>
            <w:gridSpan w:val="2"/>
            <w:tcBorders>
              <w:top w:val="single" w:sz="4" w:space="0" w:color="auto"/>
              <w:bottom w:val="double" w:sz="4" w:space="0" w:color="auto"/>
              <w:right w:val="single" w:sz="4" w:space="0" w:color="auto"/>
            </w:tcBorders>
            <w:vAlign w:val="center"/>
          </w:tcPr>
          <w:p w:rsidR="005735FA" w:rsidRPr="008061BB" w:rsidRDefault="005735FA" w:rsidP="005735FA">
            <w:pPr>
              <w:rPr>
                <w:snapToGrid w:val="0"/>
                <w:lang w:val="ru-RU" w:eastAsia="en-US"/>
              </w:rPr>
            </w:pPr>
            <w:r w:rsidRPr="008061BB">
              <w:rPr>
                <w:snapToGrid w:val="0"/>
                <w:lang w:val="ru-RU" w:eastAsia="en-US"/>
              </w:rPr>
              <w:t>Приходи от продажби на един зает в хил.лв.</w:t>
            </w:r>
          </w:p>
        </w:tc>
        <w:tc>
          <w:tcPr>
            <w:tcW w:w="570" w:type="pct"/>
            <w:tcBorders>
              <w:top w:val="single" w:sz="4" w:space="0" w:color="auto"/>
              <w:left w:val="single" w:sz="4" w:space="0" w:color="auto"/>
              <w:bottom w:val="double" w:sz="4" w:space="0" w:color="auto"/>
              <w:right w:val="single" w:sz="4" w:space="0" w:color="auto"/>
            </w:tcBorders>
            <w:shd w:val="clear" w:color="auto" w:fill="auto"/>
            <w:vAlign w:val="bottom"/>
          </w:tcPr>
          <w:p w:rsidR="005735FA" w:rsidRPr="005735FA" w:rsidRDefault="005735FA" w:rsidP="005735FA">
            <w:pPr>
              <w:jc w:val="right"/>
            </w:pPr>
            <w:r w:rsidRPr="005735FA">
              <w:t>147</w:t>
            </w:r>
          </w:p>
        </w:tc>
        <w:tc>
          <w:tcPr>
            <w:tcW w:w="581" w:type="pct"/>
            <w:gridSpan w:val="3"/>
            <w:tcBorders>
              <w:top w:val="single" w:sz="4" w:space="0" w:color="auto"/>
              <w:left w:val="nil"/>
              <w:bottom w:val="double" w:sz="4" w:space="0" w:color="auto"/>
              <w:right w:val="single" w:sz="4" w:space="0" w:color="auto"/>
            </w:tcBorders>
            <w:shd w:val="clear" w:color="auto" w:fill="auto"/>
            <w:vAlign w:val="bottom"/>
          </w:tcPr>
          <w:p w:rsidR="005735FA" w:rsidRPr="005735FA" w:rsidRDefault="005735FA" w:rsidP="005735FA">
            <w:pPr>
              <w:jc w:val="right"/>
            </w:pPr>
            <w:r w:rsidRPr="005735FA">
              <w:t>115</w:t>
            </w:r>
          </w:p>
        </w:tc>
        <w:tc>
          <w:tcPr>
            <w:tcW w:w="550" w:type="pct"/>
            <w:gridSpan w:val="2"/>
            <w:tcBorders>
              <w:top w:val="single" w:sz="4" w:space="0" w:color="auto"/>
              <w:left w:val="nil"/>
              <w:bottom w:val="double" w:sz="4" w:space="0" w:color="auto"/>
              <w:right w:val="single" w:sz="4" w:space="0" w:color="auto"/>
            </w:tcBorders>
            <w:shd w:val="clear" w:color="auto" w:fill="auto"/>
            <w:vAlign w:val="bottom"/>
          </w:tcPr>
          <w:p w:rsidR="005735FA" w:rsidRPr="005735FA" w:rsidRDefault="005735FA" w:rsidP="005735FA">
            <w:pPr>
              <w:jc w:val="right"/>
            </w:pPr>
            <w:r w:rsidRPr="005735FA">
              <w:t>27.5%</w:t>
            </w:r>
          </w:p>
        </w:tc>
        <w:tc>
          <w:tcPr>
            <w:tcW w:w="781" w:type="pct"/>
            <w:tcBorders>
              <w:top w:val="single" w:sz="4" w:space="0" w:color="auto"/>
              <w:left w:val="nil"/>
              <w:bottom w:val="double" w:sz="4" w:space="0" w:color="auto"/>
              <w:right w:val="single" w:sz="4" w:space="0" w:color="auto"/>
            </w:tcBorders>
            <w:shd w:val="clear" w:color="auto" w:fill="auto"/>
            <w:vAlign w:val="bottom"/>
          </w:tcPr>
          <w:p w:rsidR="005735FA" w:rsidRPr="005735FA" w:rsidRDefault="005735FA" w:rsidP="005735FA">
            <w:pPr>
              <w:jc w:val="right"/>
            </w:pPr>
            <w:r w:rsidRPr="005735FA">
              <w:t>139</w:t>
            </w:r>
          </w:p>
        </w:tc>
        <w:tc>
          <w:tcPr>
            <w:tcW w:w="870" w:type="pct"/>
            <w:gridSpan w:val="3"/>
            <w:tcBorders>
              <w:top w:val="single" w:sz="4" w:space="0" w:color="auto"/>
              <w:left w:val="nil"/>
              <w:bottom w:val="double" w:sz="4" w:space="0" w:color="auto"/>
              <w:right w:val="double" w:sz="4" w:space="0" w:color="auto"/>
            </w:tcBorders>
            <w:shd w:val="clear" w:color="auto" w:fill="auto"/>
            <w:vAlign w:val="bottom"/>
          </w:tcPr>
          <w:p w:rsidR="005735FA" w:rsidRPr="005735FA" w:rsidRDefault="005735FA" w:rsidP="005735FA">
            <w:pPr>
              <w:jc w:val="right"/>
            </w:pPr>
            <w:r w:rsidRPr="005735FA">
              <w:t>5.9%</w:t>
            </w:r>
          </w:p>
        </w:tc>
      </w:tr>
    </w:tbl>
    <w:p w:rsidR="00FD5EFF" w:rsidRDefault="00FD5EFF" w:rsidP="00674ECF">
      <w:pPr>
        <w:pStyle w:val="BlockText"/>
        <w:ind w:left="0" w:right="-24" w:firstLine="708"/>
        <w:rPr>
          <w:rFonts w:ascii="Times New Roman" w:hAnsi="Times New Roman"/>
          <w:lang w:val="ru-RU"/>
        </w:rPr>
      </w:pPr>
    </w:p>
    <w:p w:rsidR="005B3108" w:rsidRPr="002A3EAD" w:rsidRDefault="005B3108" w:rsidP="00674ECF">
      <w:pPr>
        <w:pStyle w:val="BlockText"/>
        <w:ind w:left="0" w:right="-24" w:firstLine="708"/>
        <w:rPr>
          <w:rFonts w:ascii="Times New Roman" w:hAnsi="Times New Roman"/>
          <w:lang w:val="ru-RU"/>
        </w:rPr>
      </w:pPr>
      <w:r w:rsidRPr="002A3EAD">
        <w:rPr>
          <w:rFonts w:ascii="Times New Roman" w:hAnsi="Times New Roman"/>
          <w:lang w:val="ru-RU"/>
        </w:rPr>
        <w:t xml:space="preserve">След направения анализ на основните финансови </w:t>
      </w:r>
      <w:r w:rsidR="00CF0227" w:rsidRPr="002A3EAD">
        <w:rPr>
          <w:rFonts w:ascii="Times New Roman" w:hAnsi="Times New Roman"/>
          <w:lang w:val="bg-BG"/>
        </w:rPr>
        <w:t xml:space="preserve">и </w:t>
      </w:r>
      <w:r w:rsidRPr="002A3EAD">
        <w:rPr>
          <w:rFonts w:ascii="Times New Roman" w:hAnsi="Times New Roman"/>
          <w:lang w:val="ru-RU"/>
        </w:rPr>
        <w:t>оперативни показатели</w:t>
      </w:r>
      <w:r w:rsidR="004A41DD" w:rsidRPr="002A3EAD">
        <w:rPr>
          <w:rFonts w:ascii="Times New Roman" w:hAnsi="Times New Roman"/>
          <w:lang w:val="ru-RU"/>
        </w:rPr>
        <w:t>,</w:t>
      </w:r>
      <w:r w:rsidRPr="002A3EAD">
        <w:rPr>
          <w:rFonts w:ascii="Times New Roman" w:hAnsi="Times New Roman"/>
          <w:lang w:val="ru-RU"/>
        </w:rPr>
        <w:t xml:space="preserve"> представени в горната таблица</w:t>
      </w:r>
      <w:r w:rsidR="004A41DD" w:rsidRPr="002A3EAD">
        <w:rPr>
          <w:rFonts w:ascii="Times New Roman" w:hAnsi="Times New Roman"/>
          <w:lang w:val="ru-RU"/>
        </w:rPr>
        <w:t>,</w:t>
      </w:r>
      <w:r w:rsidRPr="002A3EAD">
        <w:rPr>
          <w:rFonts w:ascii="Times New Roman" w:hAnsi="Times New Roman"/>
          <w:lang w:val="ru-RU"/>
        </w:rPr>
        <w:t xml:space="preserve"> може да се направят следните изводи:</w:t>
      </w:r>
    </w:p>
    <w:p w:rsidR="002A3EAD" w:rsidRPr="002A3EAD" w:rsidRDefault="002A3EAD" w:rsidP="00674ECF">
      <w:pPr>
        <w:pStyle w:val="BlockText"/>
        <w:ind w:left="0" w:right="-24" w:firstLine="708"/>
        <w:rPr>
          <w:rFonts w:ascii="Times New Roman" w:hAnsi="Times New Roman"/>
          <w:lang w:val="ru-RU"/>
        </w:rPr>
      </w:pPr>
    </w:p>
    <w:p w:rsidR="00EC32D3" w:rsidRPr="004366F5" w:rsidRDefault="005B3108" w:rsidP="007E7E40">
      <w:pPr>
        <w:pStyle w:val="BlockText"/>
        <w:numPr>
          <w:ilvl w:val="0"/>
          <w:numId w:val="37"/>
        </w:numPr>
        <w:tabs>
          <w:tab w:val="left" w:pos="993"/>
        </w:tabs>
        <w:ind w:left="0" w:right="-24" w:firstLine="709"/>
        <w:rPr>
          <w:rFonts w:ascii="Times New Roman" w:hAnsi="Times New Roman"/>
        </w:rPr>
      </w:pPr>
      <w:r w:rsidRPr="004366F5">
        <w:rPr>
          <w:rFonts w:ascii="Times New Roman" w:hAnsi="Times New Roman"/>
          <w:lang w:val="ru-RU"/>
        </w:rPr>
        <w:t xml:space="preserve">Нетните приходи от продажби </w:t>
      </w:r>
      <w:r w:rsidR="001D60D7" w:rsidRPr="004366F5">
        <w:rPr>
          <w:rFonts w:ascii="Times New Roman" w:hAnsi="Times New Roman"/>
          <w:lang w:val="ru-RU"/>
        </w:rPr>
        <w:t xml:space="preserve">са </w:t>
      </w:r>
      <w:r w:rsidR="00820485" w:rsidRPr="004366F5">
        <w:rPr>
          <w:rFonts w:ascii="Times New Roman" w:hAnsi="Times New Roman"/>
          <w:lang w:val="ru-RU"/>
        </w:rPr>
        <w:t>с</w:t>
      </w:r>
      <w:r w:rsidR="008B0B7C" w:rsidRPr="004366F5">
        <w:rPr>
          <w:rFonts w:ascii="Times New Roman" w:hAnsi="Times New Roman"/>
          <w:lang w:val="ru-RU"/>
        </w:rPr>
        <w:t xml:space="preserve"> </w:t>
      </w:r>
      <w:r w:rsidR="005735FA">
        <w:rPr>
          <w:rFonts w:ascii="Times New Roman" w:hAnsi="Times New Roman"/>
        </w:rPr>
        <w:t>15,502</w:t>
      </w:r>
      <w:r w:rsidR="00DE59F0">
        <w:rPr>
          <w:rFonts w:ascii="Times New Roman" w:hAnsi="Times New Roman"/>
        </w:rPr>
        <w:t xml:space="preserve"> </w:t>
      </w:r>
      <w:r w:rsidR="00820485" w:rsidRPr="004366F5">
        <w:rPr>
          <w:rFonts w:ascii="Times New Roman" w:hAnsi="Times New Roman"/>
          <w:lang w:val="ru-RU"/>
        </w:rPr>
        <w:t>хил. лв.</w:t>
      </w:r>
      <w:r w:rsidR="001D60D7" w:rsidRPr="004366F5">
        <w:rPr>
          <w:rFonts w:ascii="Times New Roman" w:hAnsi="Times New Roman"/>
          <w:lang w:val="ru-RU"/>
        </w:rPr>
        <w:t xml:space="preserve"> </w:t>
      </w:r>
      <w:r w:rsidR="007E4D6F" w:rsidRPr="004366F5">
        <w:rPr>
          <w:rFonts w:ascii="Times New Roman" w:hAnsi="Times New Roman"/>
          <w:lang w:val="ru-RU"/>
        </w:rPr>
        <w:t>по-</w:t>
      </w:r>
      <w:r w:rsidR="005F380D">
        <w:rPr>
          <w:rFonts w:ascii="Times New Roman" w:hAnsi="Times New Roman"/>
          <w:lang w:val="bg-BG"/>
        </w:rPr>
        <w:t>високи</w:t>
      </w:r>
      <w:r w:rsidR="007E4D6F" w:rsidRPr="004366F5">
        <w:rPr>
          <w:rFonts w:ascii="Times New Roman" w:hAnsi="Times New Roman"/>
          <w:lang w:val="ru-RU"/>
        </w:rPr>
        <w:t xml:space="preserve"> в</w:t>
      </w:r>
      <w:r w:rsidRPr="004366F5">
        <w:rPr>
          <w:rFonts w:ascii="Times New Roman" w:hAnsi="Times New Roman"/>
          <w:lang w:val="ru-RU"/>
        </w:rPr>
        <w:t xml:space="preserve"> ср</w:t>
      </w:r>
      <w:r w:rsidR="002B3523" w:rsidRPr="004366F5">
        <w:rPr>
          <w:rFonts w:ascii="Times New Roman" w:hAnsi="Times New Roman"/>
          <w:lang w:val="ru-RU"/>
        </w:rPr>
        <w:t xml:space="preserve">авнение </w:t>
      </w:r>
      <w:r w:rsidR="00784623">
        <w:rPr>
          <w:rFonts w:ascii="Times New Roman" w:hAnsi="Times New Roman"/>
          <w:lang w:val="ru-RU"/>
        </w:rPr>
        <w:t>с</w:t>
      </w:r>
      <w:r w:rsidR="005F380D">
        <w:rPr>
          <w:rFonts w:ascii="Times New Roman" w:hAnsi="Times New Roman"/>
          <w:lang w:val="bg-BG"/>
        </w:rPr>
        <w:t>ъс същия период на</w:t>
      </w:r>
      <w:r w:rsidR="0080765C" w:rsidRPr="004366F5">
        <w:rPr>
          <w:rFonts w:ascii="Times New Roman" w:hAnsi="Times New Roman"/>
          <w:lang w:val="ru-RU"/>
        </w:rPr>
        <w:t xml:space="preserve"> 201</w:t>
      </w:r>
      <w:r w:rsidR="005F380D">
        <w:rPr>
          <w:rFonts w:ascii="Times New Roman" w:hAnsi="Times New Roman"/>
        </w:rPr>
        <w:t>7</w:t>
      </w:r>
      <w:r w:rsidRPr="004366F5">
        <w:rPr>
          <w:rFonts w:ascii="Times New Roman" w:hAnsi="Times New Roman"/>
          <w:lang w:val="ru-RU"/>
        </w:rPr>
        <w:t xml:space="preserve"> г. </w:t>
      </w:r>
      <w:r w:rsidR="00160AF4" w:rsidRPr="004366F5">
        <w:rPr>
          <w:rFonts w:ascii="Times New Roman" w:hAnsi="Times New Roman"/>
          <w:lang w:val="ru-RU"/>
        </w:rPr>
        <w:t xml:space="preserve">Това се дължи </w:t>
      </w:r>
      <w:r w:rsidR="000D28D1" w:rsidRPr="004366F5">
        <w:rPr>
          <w:rFonts w:ascii="Times New Roman" w:hAnsi="Times New Roman"/>
          <w:lang w:val="ru-RU"/>
        </w:rPr>
        <w:t xml:space="preserve">основно </w:t>
      </w:r>
      <w:r w:rsidR="00160AF4" w:rsidRPr="004366F5">
        <w:rPr>
          <w:rFonts w:ascii="Times New Roman" w:hAnsi="Times New Roman"/>
          <w:lang w:val="ru-RU"/>
        </w:rPr>
        <w:t>на:</w:t>
      </w:r>
    </w:p>
    <w:p w:rsidR="008A5AB0" w:rsidRPr="004366F5" w:rsidRDefault="005F380D" w:rsidP="008A5AB0">
      <w:pPr>
        <w:pStyle w:val="BlockText"/>
        <w:numPr>
          <w:ilvl w:val="0"/>
          <w:numId w:val="25"/>
        </w:numPr>
        <w:ind w:right="-24"/>
        <w:rPr>
          <w:rFonts w:ascii="Times New Roman" w:hAnsi="Times New Roman"/>
          <w:lang w:val="ru-RU"/>
        </w:rPr>
      </w:pPr>
      <w:r>
        <w:rPr>
          <w:rFonts w:ascii="Times New Roman" w:hAnsi="Times New Roman"/>
          <w:lang w:val="ru-RU"/>
        </w:rPr>
        <w:t>Увеличението</w:t>
      </w:r>
      <w:r w:rsidR="00BD75B6" w:rsidRPr="004366F5">
        <w:rPr>
          <w:rFonts w:ascii="Times New Roman" w:hAnsi="Times New Roman"/>
          <w:lang w:val="ru-RU"/>
        </w:rPr>
        <w:t xml:space="preserve"> на приходите от такси „прелитане”</w:t>
      </w:r>
      <w:r w:rsidR="00EF1223" w:rsidRPr="004366F5">
        <w:rPr>
          <w:rFonts w:ascii="Times New Roman" w:hAnsi="Times New Roman"/>
          <w:lang w:val="ru-RU"/>
        </w:rPr>
        <w:t xml:space="preserve"> </w:t>
      </w:r>
      <w:r w:rsidR="00DF132F">
        <w:rPr>
          <w:rFonts w:ascii="Times New Roman" w:hAnsi="Times New Roman"/>
          <w:lang w:val="ru-RU"/>
        </w:rPr>
        <w:t>с</w:t>
      </w:r>
      <w:r w:rsidR="000B3966">
        <w:rPr>
          <w:rFonts w:ascii="Times New Roman" w:hAnsi="Times New Roman"/>
        </w:rPr>
        <w:t xml:space="preserve"> </w:t>
      </w:r>
      <w:r w:rsidR="005735FA">
        <w:rPr>
          <w:rFonts w:ascii="Times New Roman" w:hAnsi="Times New Roman"/>
        </w:rPr>
        <w:t>15,771</w:t>
      </w:r>
      <w:r w:rsidR="004B55F3" w:rsidRPr="004366F5">
        <w:rPr>
          <w:rFonts w:ascii="Times New Roman" w:hAnsi="Times New Roman"/>
        </w:rPr>
        <w:t xml:space="preserve"> </w:t>
      </w:r>
      <w:r w:rsidR="00EF1223" w:rsidRPr="004366F5">
        <w:rPr>
          <w:rFonts w:ascii="Times New Roman" w:hAnsi="Times New Roman"/>
          <w:lang w:val="ru-RU"/>
        </w:rPr>
        <w:t>хил.</w:t>
      </w:r>
      <w:r w:rsidR="00C34AFC" w:rsidRPr="004366F5">
        <w:rPr>
          <w:rFonts w:ascii="Times New Roman" w:hAnsi="Times New Roman"/>
          <w:lang w:val="ru-RU"/>
        </w:rPr>
        <w:t xml:space="preserve"> </w:t>
      </w:r>
      <w:r w:rsidR="00EF1223" w:rsidRPr="004366F5">
        <w:rPr>
          <w:rFonts w:ascii="Times New Roman" w:hAnsi="Times New Roman"/>
          <w:lang w:val="ru-RU"/>
        </w:rPr>
        <w:t>лв</w:t>
      </w:r>
      <w:r w:rsidR="000E1E0A" w:rsidRPr="004366F5">
        <w:rPr>
          <w:rFonts w:ascii="Times New Roman" w:hAnsi="Times New Roman"/>
          <w:lang w:val="ru-RU"/>
        </w:rPr>
        <w:t>.</w:t>
      </w:r>
      <w:r w:rsidR="00BD75B6" w:rsidRPr="004366F5">
        <w:rPr>
          <w:rFonts w:ascii="Times New Roman" w:hAnsi="Times New Roman"/>
          <w:lang w:val="ru-RU"/>
        </w:rPr>
        <w:t xml:space="preserve">, </w:t>
      </w:r>
      <w:r w:rsidR="008A5AB0" w:rsidRPr="004366F5">
        <w:rPr>
          <w:rFonts w:ascii="Times New Roman" w:hAnsi="Times New Roman"/>
          <w:lang w:val="ru-RU"/>
        </w:rPr>
        <w:t xml:space="preserve">което е резултат от </w:t>
      </w:r>
      <w:r w:rsidR="003B4DCC" w:rsidRPr="004366F5">
        <w:rPr>
          <w:rFonts w:ascii="Times New Roman" w:hAnsi="Times New Roman"/>
          <w:lang w:val="bg-BG"/>
        </w:rPr>
        <w:t>комбинираното</w:t>
      </w:r>
      <w:r w:rsidR="008A5AB0" w:rsidRPr="004366F5">
        <w:rPr>
          <w:rFonts w:ascii="Times New Roman" w:hAnsi="Times New Roman"/>
          <w:lang w:val="ru-RU"/>
        </w:rPr>
        <w:t xml:space="preserve"> влияние на увеличението на обслужените единици </w:t>
      </w:r>
      <w:r w:rsidR="008A5AB0" w:rsidRPr="00DD7475">
        <w:rPr>
          <w:rFonts w:ascii="Times New Roman" w:hAnsi="Times New Roman"/>
          <w:lang w:val="ru-RU"/>
        </w:rPr>
        <w:t xml:space="preserve">с </w:t>
      </w:r>
      <w:r w:rsidR="00DB2516">
        <w:rPr>
          <w:rFonts w:ascii="Times New Roman" w:hAnsi="Times New Roman"/>
        </w:rPr>
        <w:t>12.</w:t>
      </w:r>
      <w:r w:rsidR="00E66B3A">
        <w:rPr>
          <w:rFonts w:ascii="Times New Roman" w:hAnsi="Times New Roman"/>
        </w:rPr>
        <w:t>2</w:t>
      </w:r>
      <w:r w:rsidR="008A5AB0" w:rsidRPr="00DD7475">
        <w:rPr>
          <w:rFonts w:ascii="Times New Roman" w:hAnsi="Times New Roman"/>
          <w:lang w:val="bg-BG"/>
        </w:rPr>
        <w:t>%</w:t>
      </w:r>
      <w:r w:rsidR="0063011B">
        <w:rPr>
          <w:rFonts w:ascii="Times New Roman" w:hAnsi="Times New Roman"/>
          <w:lang w:val="ru-RU"/>
        </w:rPr>
        <w:t xml:space="preserve"> и </w:t>
      </w:r>
      <w:r w:rsidR="008A5AB0" w:rsidRPr="004366F5">
        <w:rPr>
          <w:rFonts w:ascii="Times New Roman" w:hAnsi="Times New Roman"/>
          <w:lang w:val="ru-RU"/>
        </w:rPr>
        <w:t xml:space="preserve">на плановото </w:t>
      </w:r>
      <w:r>
        <w:rPr>
          <w:rFonts w:ascii="Times New Roman" w:hAnsi="Times New Roman"/>
          <w:lang w:val="bg-BG"/>
        </w:rPr>
        <w:t>намаление</w:t>
      </w:r>
      <w:r w:rsidR="008A5AB0" w:rsidRPr="004366F5">
        <w:rPr>
          <w:rFonts w:ascii="Times New Roman" w:hAnsi="Times New Roman"/>
          <w:lang w:val="ru-RU"/>
        </w:rPr>
        <w:t xml:space="preserve"> </w:t>
      </w:r>
      <w:r w:rsidR="00B4520D">
        <w:rPr>
          <w:rFonts w:ascii="Times New Roman" w:hAnsi="Times New Roman"/>
          <w:lang w:val="ru-RU"/>
        </w:rPr>
        <w:t>на</w:t>
      </w:r>
      <w:r w:rsidR="002A3EAD" w:rsidRPr="004366F5">
        <w:rPr>
          <w:rFonts w:ascii="Times New Roman" w:hAnsi="Times New Roman"/>
          <w:lang w:val="ru-RU"/>
        </w:rPr>
        <w:t xml:space="preserve"> </w:t>
      </w:r>
      <w:r w:rsidR="008A5AB0" w:rsidRPr="004366F5">
        <w:rPr>
          <w:rFonts w:ascii="Times New Roman" w:hAnsi="Times New Roman"/>
          <w:lang w:val="ru-RU"/>
        </w:rPr>
        <w:t xml:space="preserve">националната таксова единица „прелитане” в сравнение с предходната година с </w:t>
      </w:r>
      <w:r>
        <w:rPr>
          <w:rFonts w:ascii="Times New Roman" w:hAnsi="Times New Roman"/>
          <w:lang w:val="bg-BG"/>
        </w:rPr>
        <w:t>0.93</w:t>
      </w:r>
      <w:r w:rsidR="00B4520D">
        <w:rPr>
          <w:rFonts w:ascii="Times New Roman" w:hAnsi="Times New Roman"/>
          <w:lang w:val="ru-RU"/>
        </w:rPr>
        <w:t>%</w:t>
      </w:r>
      <w:r w:rsidR="00784623">
        <w:rPr>
          <w:rFonts w:ascii="Times New Roman" w:hAnsi="Times New Roman"/>
          <w:lang w:val="ru-RU"/>
        </w:rPr>
        <w:t xml:space="preserve">, както и </w:t>
      </w:r>
      <w:r w:rsidR="00B876DE">
        <w:rPr>
          <w:rFonts w:ascii="Times New Roman" w:hAnsi="Times New Roman"/>
          <w:lang w:val="bg-BG"/>
        </w:rPr>
        <w:t xml:space="preserve">на </w:t>
      </w:r>
      <w:r w:rsidR="00B4520D">
        <w:rPr>
          <w:rFonts w:ascii="Times New Roman" w:hAnsi="Times New Roman"/>
          <w:lang w:val="bg-BG"/>
        </w:rPr>
        <w:t xml:space="preserve">отразяването на ефектите от ревизията на </w:t>
      </w:r>
      <w:r w:rsidR="001F4118">
        <w:rPr>
          <w:rFonts w:ascii="Times New Roman" w:hAnsi="Times New Roman"/>
          <w:lang w:val="bg-BG"/>
        </w:rPr>
        <w:t>П</w:t>
      </w:r>
      <w:r w:rsidR="00B4520D">
        <w:rPr>
          <w:rFonts w:ascii="Times New Roman" w:hAnsi="Times New Roman"/>
          <w:lang w:val="bg-BG"/>
        </w:rPr>
        <w:t>лана за ефективност за втори референтен период</w:t>
      </w:r>
      <w:r w:rsidR="0001608C">
        <w:rPr>
          <w:rFonts w:ascii="Times New Roman" w:hAnsi="Times New Roman"/>
          <w:lang w:val="bg-BG"/>
        </w:rPr>
        <w:t>;</w:t>
      </w:r>
    </w:p>
    <w:p w:rsidR="00E4195B" w:rsidRDefault="005F380D" w:rsidP="00674ECF">
      <w:pPr>
        <w:pStyle w:val="BlockText"/>
        <w:numPr>
          <w:ilvl w:val="0"/>
          <w:numId w:val="25"/>
        </w:numPr>
        <w:ind w:right="-24"/>
        <w:rPr>
          <w:rFonts w:ascii="Times New Roman" w:hAnsi="Times New Roman"/>
          <w:lang w:val="ru-RU"/>
        </w:rPr>
      </w:pPr>
      <w:r>
        <w:rPr>
          <w:rFonts w:ascii="Times New Roman" w:hAnsi="Times New Roman"/>
          <w:lang w:val="ru-RU"/>
        </w:rPr>
        <w:t>Намаление</w:t>
      </w:r>
      <w:r w:rsidR="00735D58" w:rsidRPr="004366F5">
        <w:rPr>
          <w:rFonts w:ascii="Times New Roman" w:hAnsi="Times New Roman"/>
          <w:lang w:val="ru-RU"/>
        </w:rPr>
        <w:t xml:space="preserve"> н</w:t>
      </w:r>
      <w:r w:rsidR="00BD75B6" w:rsidRPr="004366F5">
        <w:rPr>
          <w:rFonts w:ascii="Times New Roman" w:hAnsi="Times New Roman"/>
          <w:lang w:val="ru-RU"/>
        </w:rPr>
        <w:t xml:space="preserve">а </w:t>
      </w:r>
      <w:r w:rsidR="00160AF4" w:rsidRPr="004366F5">
        <w:rPr>
          <w:rFonts w:ascii="Times New Roman" w:hAnsi="Times New Roman"/>
          <w:lang w:val="ru-RU"/>
        </w:rPr>
        <w:t xml:space="preserve">приходите от такси за АНО </w:t>
      </w:r>
      <w:r w:rsidR="001B541A" w:rsidRPr="004366F5">
        <w:rPr>
          <w:rFonts w:ascii="Times New Roman" w:hAnsi="Times New Roman"/>
          <w:lang w:val="ru-RU"/>
        </w:rPr>
        <w:t xml:space="preserve">в </w:t>
      </w:r>
      <w:r w:rsidR="00ED4871" w:rsidRPr="004366F5">
        <w:rPr>
          <w:rFonts w:ascii="Times New Roman" w:hAnsi="Times New Roman"/>
          <w:lang w:val="ru-RU"/>
        </w:rPr>
        <w:t>зон</w:t>
      </w:r>
      <w:r w:rsidR="00ED4871" w:rsidRPr="004366F5">
        <w:rPr>
          <w:rFonts w:ascii="Times New Roman" w:hAnsi="Times New Roman"/>
          <w:lang w:val="bg-BG"/>
        </w:rPr>
        <w:t>ите и районите</w:t>
      </w:r>
      <w:r w:rsidR="00ED4871" w:rsidRPr="004366F5">
        <w:rPr>
          <w:rFonts w:ascii="Times New Roman" w:hAnsi="Times New Roman"/>
          <w:lang w:val="ru-RU"/>
        </w:rPr>
        <w:t xml:space="preserve"> </w:t>
      </w:r>
      <w:r w:rsidR="001B541A" w:rsidRPr="004366F5">
        <w:rPr>
          <w:rFonts w:ascii="Times New Roman" w:hAnsi="Times New Roman"/>
          <w:lang w:val="ru-RU"/>
        </w:rPr>
        <w:t>на летищата</w:t>
      </w:r>
      <w:r w:rsidR="00083EB6" w:rsidRPr="004366F5">
        <w:rPr>
          <w:rFonts w:ascii="Times New Roman" w:hAnsi="Times New Roman"/>
          <w:lang w:val="ru-RU"/>
        </w:rPr>
        <w:t xml:space="preserve"> (такси „подход”)</w:t>
      </w:r>
      <w:r w:rsidR="001B541A" w:rsidRPr="004366F5">
        <w:rPr>
          <w:rFonts w:ascii="Times New Roman" w:hAnsi="Times New Roman"/>
          <w:lang w:val="ru-RU"/>
        </w:rPr>
        <w:t xml:space="preserve"> </w:t>
      </w:r>
      <w:r w:rsidR="00C73483" w:rsidRPr="004366F5">
        <w:rPr>
          <w:rFonts w:ascii="Times New Roman" w:hAnsi="Times New Roman"/>
          <w:lang w:val="ru-RU"/>
        </w:rPr>
        <w:t>с</w:t>
      </w:r>
      <w:r w:rsidR="007349DE">
        <w:rPr>
          <w:rFonts w:ascii="Times New Roman" w:hAnsi="Times New Roman"/>
          <w:lang w:val="bg-BG"/>
        </w:rPr>
        <w:t xml:space="preserve"> </w:t>
      </w:r>
      <w:r w:rsidR="00DE59F0">
        <w:rPr>
          <w:rFonts w:ascii="Times New Roman" w:hAnsi="Times New Roman"/>
        </w:rPr>
        <w:t>2</w:t>
      </w:r>
      <w:r w:rsidR="00BD79B3" w:rsidRPr="004366F5">
        <w:rPr>
          <w:rFonts w:ascii="Times New Roman" w:hAnsi="Times New Roman"/>
          <w:lang w:val="ru-RU"/>
        </w:rPr>
        <w:t>% (</w:t>
      </w:r>
      <w:r>
        <w:rPr>
          <w:rFonts w:ascii="Times New Roman" w:hAnsi="Times New Roman"/>
          <w:lang w:val="ru-RU"/>
        </w:rPr>
        <w:t>-</w:t>
      </w:r>
      <w:r w:rsidR="005735FA">
        <w:rPr>
          <w:rFonts w:ascii="Times New Roman" w:hAnsi="Times New Roman"/>
        </w:rPr>
        <w:t>380</w:t>
      </w:r>
      <w:r w:rsidR="004B55F3" w:rsidRPr="004366F5">
        <w:rPr>
          <w:rFonts w:ascii="Times New Roman" w:hAnsi="Times New Roman"/>
          <w:lang w:val="ru-RU"/>
        </w:rPr>
        <w:t xml:space="preserve"> </w:t>
      </w:r>
      <w:r w:rsidR="00621B5C" w:rsidRPr="004366F5">
        <w:rPr>
          <w:rFonts w:ascii="Times New Roman" w:hAnsi="Times New Roman"/>
          <w:lang w:val="ru-RU"/>
        </w:rPr>
        <w:t>хил.</w:t>
      </w:r>
      <w:r w:rsidR="00930543" w:rsidRPr="004366F5">
        <w:rPr>
          <w:rFonts w:ascii="Times New Roman" w:hAnsi="Times New Roman"/>
          <w:lang w:val="ru-RU"/>
        </w:rPr>
        <w:t xml:space="preserve"> </w:t>
      </w:r>
      <w:r w:rsidR="00FB74E8" w:rsidRPr="004366F5">
        <w:rPr>
          <w:rFonts w:ascii="Times New Roman" w:hAnsi="Times New Roman"/>
          <w:lang w:val="ru-RU"/>
        </w:rPr>
        <w:t>лв</w:t>
      </w:r>
      <w:r w:rsidR="00BD75B6" w:rsidRPr="004366F5">
        <w:rPr>
          <w:rFonts w:ascii="Times New Roman" w:hAnsi="Times New Roman"/>
          <w:lang w:val="ru-RU"/>
        </w:rPr>
        <w:t>.</w:t>
      </w:r>
      <w:r w:rsidR="00FB74E8" w:rsidRPr="004366F5">
        <w:rPr>
          <w:rFonts w:ascii="Times New Roman" w:hAnsi="Times New Roman"/>
          <w:lang w:val="ru-RU"/>
        </w:rPr>
        <w:t>)</w:t>
      </w:r>
      <w:r w:rsidR="00955BC2">
        <w:rPr>
          <w:rFonts w:ascii="Times New Roman" w:hAnsi="Times New Roman"/>
        </w:rPr>
        <w:t xml:space="preserve"> </w:t>
      </w:r>
      <w:r w:rsidR="00FB014D">
        <w:rPr>
          <w:rFonts w:ascii="Times New Roman" w:hAnsi="Times New Roman"/>
          <w:lang w:val="bg-BG"/>
        </w:rPr>
        <w:t xml:space="preserve">основно </w:t>
      </w:r>
      <w:r w:rsidR="00955BC2">
        <w:rPr>
          <w:rFonts w:ascii="Times New Roman" w:hAnsi="Times New Roman"/>
          <w:lang w:val="bg-BG"/>
        </w:rPr>
        <w:t>в резултат на на</w:t>
      </w:r>
      <w:r w:rsidR="00FB014D">
        <w:rPr>
          <w:rFonts w:ascii="Times New Roman" w:hAnsi="Times New Roman"/>
          <w:lang w:val="bg-BG"/>
        </w:rPr>
        <w:t xml:space="preserve">малението на таксовата единица за </w:t>
      </w:r>
      <w:r w:rsidR="00955BC2">
        <w:rPr>
          <w:rFonts w:ascii="Times New Roman" w:hAnsi="Times New Roman"/>
          <w:lang w:val="bg-BG"/>
        </w:rPr>
        <w:t>летищ</w:t>
      </w:r>
      <w:r w:rsidR="00FB014D">
        <w:rPr>
          <w:rFonts w:ascii="Times New Roman" w:hAnsi="Times New Roman"/>
          <w:lang w:val="bg-BG"/>
        </w:rPr>
        <w:t>е</w:t>
      </w:r>
      <w:r w:rsidR="00955BC2">
        <w:rPr>
          <w:rFonts w:ascii="Times New Roman" w:hAnsi="Times New Roman"/>
          <w:lang w:val="bg-BG"/>
        </w:rPr>
        <w:t xml:space="preserve"> София</w:t>
      </w:r>
      <w:r w:rsidR="00FB014D">
        <w:rPr>
          <w:rFonts w:ascii="Times New Roman" w:hAnsi="Times New Roman"/>
          <w:lang w:val="bg-BG"/>
        </w:rPr>
        <w:t xml:space="preserve"> с</w:t>
      </w:r>
      <w:r w:rsidR="0099273C">
        <w:rPr>
          <w:rFonts w:ascii="Times New Roman" w:hAnsi="Times New Roman"/>
          <w:lang w:val="bg-BG"/>
        </w:rPr>
        <w:t xml:space="preserve"> 18.19% </w:t>
      </w:r>
      <w:r w:rsidR="0099273C" w:rsidRPr="004366F5">
        <w:rPr>
          <w:rFonts w:ascii="Times New Roman" w:hAnsi="Times New Roman"/>
          <w:lang w:val="ru-RU"/>
        </w:rPr>
        <w:t>в сравнение с предходната година</w:t>
      </w:r>
      <w:r w:rsidR="0099273C">
        <w:rPr>
          <w:rFonts w:ascii="Times New Roman" w:hAnsi="Times New Roman"/>
          <w:lang w:val="ru-RU"/>
        </w:rPr>
        <w:t>, вследствие прилагане на схемата за ефективност</w:t>
      </w:r>
      <w:r w:rsidR="004630B2">
        <w:rPr>
          <w:rFonts w:ascii="Times New Roman" w:hAnsi="Times New Roman"/>
        </w:rPr>
        <w:t xml:space="preserve"> (</w:t>
      </w:r>
      <w:r w:rsidR="004630B2">
        <w:rPr>
          <w:rFonts w:ascii="Times New Roman" w:hAnsi="Times New Roman"/>
          <w:lang w:val="bg-BG"/>
        </w:rPr>
        <w:t>инфлационна корекция и превишение на действителния трафик над прогнозата)</w:t>
      </w:r>
      <w:r w:rsidR="007151A5">
        <w:rPr>
          <w:rFonts w:ascii="Times New Roman" w:hAnsi="Times New Roman"/>
          <w:lang w:val="ru-RU"/>
        </w:rPr>
        <w:t>.</w:t>
      </w:r>
    </w:p>
    <w:p w:rsidR="00EC32D3" w:rsidRPr="002A3EAD" w:rsidRDefault="00EC32D3" w:rsidP="00EC32D3">
      <w:pPr>
        <w:pStyle w:val="BlockText"/>
        <w:ind w:left="1428" w:right="-24" w:firstLine="0"/>
        <w:rPr>
          <w:rFonts w:ascii="Times New Roman" w:hAnsi="Times New Roman"/>
          <w:lang w:val="ru-RU"/>
        </w:rPr>
      </w:pPr>
    </w:p>
    <w:p w:rsidR="00E121C1" w:rsidRDefault="00B613F4" w:rsidP="00067487">
      <w:pPr>
        <w:pStyle w:val="BodyTextIndent2"/>
        <w:spacing w:line="240" w:lineRule="auto"/>
        <w:ind w:left="0" w:firstLine="720"/>
        <w:rPr>
          <w:rFonts w:ascii="Times New Roman" w:hAnsi="Times New Roman"/>
        </w:rPr>
      </w:pPr>
      <w:r w:rsidRPr="002A3EAD">
        <w:rPr>
          <w:rFonts w:ascii="Times New Roman" w:hAnsi="Times New Roman"/>
        </w:rPr>
        <w:t xml:space="preserve">На 02.03.2015 г. са издадени две решения на ЕК, с които е обявено, че Планът за ефективност </w:t>
      </w:r>
      <w:r w:rsidR="00B34991" w:rsidRPr="002A3EAD">
        <w:rPr>
          <w:rFonts w:ascii="Times New Roman" w:hAnsi="Times New Roman"/>
        </w:rPr>
        <w:t xml:space="preserve">(ПЕ) </w:t>
      </w:r>
      <w:r w:rsidRPr="002A3EAD">
        <w:rPr>
          <w:rFonts w:ascii="Times New Roman" w:hAnsi="Times New Roman"/>
        </w:rPr>
        <w:t xml:space="preserve">на ФБВП Дунав за Втори референтен период в частта му за РБългария е в съответствие с целите за ефективност на общоевропейско равнище в ключовите области </w:t>
      </w:r>
      <w:r w:rsidR="00A63310">
        <w:rPr>
          <w:rFonts w:ascii="Times New Roman" w:hAnsi="Times New Roman"/>
        </w:rPr>
        <w:t>„</w:t>
      </w:r>
      <w:r w:rsidRPr="002A3EAD">
        <w:rPr>
          <w:rFonts w:ascii="Times New Roman" w:hAnsi="Times New Roman"/>
        </w:rPr>
        <w:t>Безопасност</w:t>
      </w:r>
      <w:r w:rsidR="00A63310">
        <w:rPr>
          <w:rFonts w:ascii="Times New Roman" w:hAnsi="Times New Roman"/>
        </w:rPr>
        <w:t>“</w:t>
      </w:r>
      <w:r w:rsidRPr="002A3EAD">
        <w:rPr>
          <w:rFonts w:ascii="Times New Roman" w:hAnsi="Times New Roman"/>
        </w:rPr>
        <w:t xml:space="preserve">, </w:t>
      </w:r>
      <w:r w:rsidR="00A63310">
        <w:rPr>
          <w:rFonts w:ascii="Times New Roman" w:hAnsi="Times New Roman"/>
        </w:rPr>
        <w:t>„</w:t>
      </w:r>
      <w:r w:rsidRPr="002A3EAD">
        <w:rPr>
          <w:rFonts w:ascii="Times New Roman" w:hAnsi="Times New Roman"/>
        </w:rPr>
        <w:t>Околна среда</w:t>
      </w:r>
      <w:r w:rsidR="00A63310">
        <w:rPr>
          <w:rFonts w:ascii="Times New Roman" w:hAnsi="Times New Roman"/>
        </w:rPr>
        <w:t>“</w:t>
      </w:r>
      <w:r w:rsidRPr="002A3EAD">
        <w:rPr>
          <w:rFonts w:ascii="Times New Roman" w:hAnsi="Times New Roman"/>
        </w:rPr>
        <w:t xml:space="preserve"> и </w:t>
      </w:r>
      <w:r w:rsidR="00A63310">
        <w:rPr>
          <w:rFonts w:ascii="Times New Roman" w:hAnsi="Times New Roman"/>
        </w:rPr>
        <w:t>„</w:t>
      </w:r>
      <w:r w:rsidRPr="002A3EAD">
        <w:rPr>
          <w:rFonts w:ascii="Times New Roman" w:hAnsi="Times New Roman"/>
        </w:rPr>
        <w:t>Разходна ефективност</w:t>
      </w:r>
      <w:r w:rsidR="00A63310">
        <w:rPr>
          <w:rFonts w:ascii="Times New Roman" w:hAnsi="Times New Roman"/>
        </w:rPr>
        <w:t>“</w:t>
      </w:r>
      <w:r w:rsidRPr="002A3EAD">
        <w:rPr>
          <w:rFonts w:ascii="Times New Roman" w:hAnsi="Times New Roman"/>
        </w:rPr>
        <w:t xml:space="preserve">, а за ключова област </w:t>
      </w:r>
      <w:r w:rsidR="001F4118">
        <w:rPr>
          <w:rFonts w:ascii="Times New Roman" w:hAnsi="Times New Roman"/>
        </w:rPr>
        <w:t>„</w:t>
      </w:r>
      <w:r w:rsidRPr="002A3EAD">
        <w:rPr>
          <w:rFonts w:ascii="Times New Roman" w:hAnsi="Times New Roman"/>
        </w:rPr>
        <w:t>Капацитет</w:t>
      </w:r>
      <w:r w:rsidR="001F4118">
        <w:rPr>
          <w:rFonts w:ascii="Times New Roman" w:hAnsi="Times New Roman"/>
        </w:rPr>
        <w:t>“</w:t>
      </w:r>
      <w:r w:rsidRPr="002A3EAD">
        <w:rPr>
          <w:rFonts w:ascii="Times New Roman" w:hAnsi="Times New Roman"/>
        </w:rPr>
        <w:t xml:space="preserve"> са необходими подобрения.</w:t>
      </w:r>
      <w:r w:rsidR="002F23D0" w:rsidRPr="002A3EAD">
        <w:rPr>
          <w:rFonts w:ascii="Times New Roman" w:hAnsi="Times New Roman"/>
        </w:rPr>
        <w:t xml:space="preserve"> </w:t>
      </w:r>
      <w:r w:rsidR="00F32CFF" w:rsidRPr="002A3EAD">
        <w:rPr>
          <w:rFonts w:ascii="Times New Roman" w:hAnsi="Times New Roman"/>
        </w:rPr>
        <w:t>В тази връзка на 0</w:t>
      </w:r>
      <w:r w:rsidR="006F6465" w:rsidRPr="00E121C1">
        <w:rPr>
          <w:rFonts w:ascii="Times New Roman" w:hAnsi="Times New Roman"/>
        </w:rPr>
        <w:t>1</w:t>
      </w:r>
      <w:r w:rsidR="00F32CFF" w:rsidRPr="002A3EAD">
        <w:rPr>
          <w:rFonts w:ascii="Times New Roman" w:hAnsi="Times New Roman"/>
        </w:rPr>
        <w:t xml:space="preserve">.07.2015 г. бе подаден коригендум </w:t>
      </w:r>
      <w:r w:rsidR="00E94295" w:rsidRPr="002A3EAD">
        <w:rPr>
          <w:rFonts w:ascii="Times New Roman" w:hAnsi="Times New Roman"/>
        </w:rPr>
        <w:t>на плана в частта</w:t>
      </w:r>
      <w:r w:rsidR="00AC13A4" w:rsidRPr="002A3EAD">
        <w:rPr>
          <w:rFonts w:ascii="Times New Roman" w:hAnsi="Times New Roman"/>
        </w:rPr>
        <w:t xml:space="preserve"> му за ключова област </w:t>
      </w:r>
      <w:r w:rsidR="001F4118">
        <w:rPr>
          <w:rFonts w:ascii="Times New Roman" w:hAnsi="Times New Roman"/>
        </w:rPr>
        <w:t>„</w:t>
      </w:r>
      <w:r w:rsidR="00AC13A4" w:rsidRPr="002A3EAD">
        <w:rPr>
          <w:rFonts w:ascii="Times New Roman" w:hAnsi="Times New Roman"/>
        </w:rPr>
        <w:t>Капацитет</w:t>
      </w:r>
      <w:r w:rsidR="001F4118">
        <w:rPr>
          <w:rFonts w:ascii="Times New Roman" w:hAnsi="Times New Roman"/>
        </w:rPr>
        <w:t>“</w:t>
      </w:r>
      <w:r w:rsidR="00AC13A4" w:rsidRPr="002A3EAD">
        <w:rPr>
          <w:rFonts w:ascii="Times New Roman" w:hAnsi="Times New Roman"/>
        </w:rPr>
        <w:t xml:space="preserve">. </w:t>
      </w:r>
      <w:r w:rsidR="00E121C1">
        <w:rPr>
          <w:rFonts w:ascii="Times New Roman" w:hAnsi="Times New Roman"/>
        </w:rPr>
        <w:t xml:space="preserve">На 15.04.2016 г. ЕК издаде Решение за изпълнение, с което </w:t>
      </w:r>
      <w:r w:rsidR="00067487">
        <w:rPr>
          <w:rFonts w:ascii="Times New Roman" w:hAnsi="Times New Roman"/>
        </w:rPr>
        <w:t>целите за ефект</w:t>
      </w:r>
      <w:r w:rsidR="00D604E3">
        <w:rPr>
          <w:rFonts w:ascii="Times New Roman" w:hAnsi="Times New Roman"/>
        </w:rPr>
        <w:t xml:space="preserve">ивност на </w:t>
      </w:r>
      <w:r w:rsidR="00D604E3">
        <w:rPr>
          <w:rFonts w:ascii="Times New Roman" w:hAnsi="Times New Roman"/>
        </w:rPr>
        <w:lastRenderedPageBreak/>
        <w:t>ФБВП Дунав са приети з</w:t>
      </w:r>
      <w:r w:rsidR="00067487">
        <w:rPr>
          <w:rFonts w:ascii="Times New Roman" w:hAnsi="Times New Roman"/>
        </w:rPr>
        <w:t>а съответстващи на общоевропейските цели на ефективност в тази ключова област</w:t>
      </w:r>
      <w:r w:rsidR="00D604E3">
        <w:rPr>
          <w:rFonts w:ascii="Times New Roman" w:hAnsi="Times New Roman"/>
        </w:rPr>
        <w:t>.</w:t>
      </w:r>
    </w:p>
    <w:p w:rsidR="00EC32D3" w:rsidRPr="00AD1A9B" w:rsidRDefault="00740624" w:rsidP="00AD1A9B">
      <w:pPr>
        <w:jc w:val="both"/>
        <w:rPr>
          <w:sz w:val="22"/>
          <w:szCs w:val="22"/>
          <w:lang w:val="en-US" w:eastAsia="en-US"/>
        </w:rPr>
      </w:pPr>
      <w:r w:rsidRPr="002A3EAD">
        <w:t xml:space="preserve"> </w:t>
      </w:r>
      <w:r w:rsidR="00AD1A9B">
        <w:tab/>
      </w:r>
      <w:r w:rsidR="003D4799" w:rsidRPr="002A3EAD">
        <w:t>Доколкото ситуацията в РПИ Симферопол и РПИ Днепропетровск се запазва към момента, може да се очаква</w:t>
      </w:r>
      <w:r w:rsidR="00A30E81">
        <w:t xml:space="preserve">т високи нива на </w:t>
      </w:r>
      <w:r w:rsidR="003D4799" w:rsidRPr="002A3EAD">
        <w:t>обслужвания трафик</w:t>
      </w:r>
      <w:r w:rsidR="00A30E81">
        <w:t>, в съответствие с</w:t>
      </w:r>
      <w:r w:rsidR="003D4799" w:rsidRPr="002A3EAD">
        <w:t xml:space="preserve"> прогнозата, заложена в </w:t>
      </w:r>
      <w:r w:rsidR="00395569">
        <w:t>ПЕ</w:t>
      </w:r>
      <w:r w:rsidR="003D4799" w:rsidRPr="002A3EAD">
        <w:t xml:space="preserve"> на ФБВП Дунав за Втория референтен период</w:t>
      </w:r>
      <w:r w:rsidR="00143178">
        <w:t xml:space="preserve"> (</w:t>
      </w:r>
      <w:r w:rsidR="00395569">
        <w:t>РП2</w:t>
      </w:r>
      <w:r w:rsidR="00143178">
        <w:t>)</w:t>
      </w:r>
      <w:r w:rsidR="003D4799" w:rsidRPr="002A3EAD">
        <w:t xml:space="preserve">. </w:t>
      </w:r>
      <w:r w:rsidR="00143178">
        <w:t xml:space="preserve">В допълнение на нарасналия трафик, е налице цялостна промяна на допусканията, заложени в ПЕ. </w:t>
      </w:r>
      <w:r w:rsidR="00C95B0E">
        <w:t xml:space="preserve">На 31.03.2017 г. Европейската комисия обяви, че решението за ревизиране на плана е взето с консенсус от Комитета за единно европейско небе. </w:t>
      </w:r>
      <w:r w:rsidR="001B23E7">
        <w:t xml:space="preserve">Впоследствие, това решение на ЕК бе официално публикувано </w:t>
      </w:r>
      <w:r w:rsidR="00AD1A9B">
        <w:rPr>
          <w:lang w:val="en-US" w:eastAsia="x-none"/>
        </w:rPr>
        <w:t>под № 1985/31.</w:t>
      </w:r>
      <w:r w:rsidR="00AD1A9B">
        <w:rPr>
          <w:lang w:val="ru-RU" w:eastAsia="x-none"/>
        </w:rPr>
        <w:t xml:space="preserve">10.2017 г. </w:t>
      </w:r>
      <w:bookmarkStart w:id="1" w:name="_Hlk502831430"/>
      <w:r w:rsidR="00AD1A9B">
        <w:rPr>
          <w:lang w:val="en-US" w:eastAsia="x-none"/>
        </w:rPr>
        <w:t xml:space="preserve">С решение </w:t>
      </w:r>
      <w:r w:rsidR="00AD1A9B">
        <w:rPr>
          <w:lang w:val="en-US"/>
        </w:rPr>
        <w:t xml:space="preserve">№ </w:t>
      </w:r>
      <w:r w:rsidR="00AD1A9B">
        <w:rPr>
          <w:lang w:val="en-US" w:eastAsia="x-none"/>
        </w:rPr>
        <w:t xml:space="preserve">2376/15.12.2017 г. е постановено, че </w:t>
      </w:r>
      <w:bookmarkEnd w:id="1"/>
      <w:r w:rsidR="00AD1A9B">
        <w:rPr>
          <w:lang w:val="en-US" w:eastAsia="x-none"/>
        </w:rPr>
        <w:t xml:space="preserve">преразгледаните цели на България за 2017 г., 2018 г. и 2019 г. </w:t>
      </w:r>
      <w:r w:rsidR="00D14B53">
        <w:rPr>
          <w:lang w:eastAsia="x-none"/>
        </w:rPr>
        <w:t xml:space="preserve">допринасят адекватно за постигането на </w:t>
      </w:r>
      <w:r w:rsidR="00AD1A9B">
        <w:rPr>
          <w:lang w:val="en-US" w:eastAsia="x-none"/>
        </w:rPr>
        <w:t xml:space="preserve">валидните за целия </w:t>
      </w:r>
      <w:r w:rsidR="007465A3">
        <w:rPr>
          <w:lang w:eastAsia="x-none"/>
        </w:rPr>
        <w:t>Европейски с</w:t>
      </w:r>
      <w:r w:rsidR="00AD1A9B">
        <w:rPr>
          <w:lang w:val="en-US" w:eastAsia="x-none"/>
        </w:rPr>
        <w:t xml:space="preserve">ъюз цели </w:t>
      </w:r>
      <w:r w:rsidR="00D14B53">
        <w:rPr>
          <w:lang w:val="en-US" w:eastAsia="x-none"/>
        </w:rPr>
        <w:t xml:space="preserve">за втория референтен период </w:t>
      </w:r>
      <w:r w:rsidR="00AD1A9B">
        <w:rPr>
          <w:lang w:val="en-US" w:eastAsia="x-none"/>
        </w:rPr>
        <w:t>за ключовата област „</w:t>
      </w:r>
      <w:r w:rsidR="00AD7E2D">
        <w:rPr>
          <w:lang w:val="en-US" w:eastAsia="x-none"/>
        </w:rPr>
        <w:t>E</w:t>
      </w:r>
      <w:r w:rsidR="00AD1A9B">
        <w:rPr>
          <w:lang w:val="en-US" w:eastAsia="x-none"/>
        </w:rPr>
        <w:t>фективност на разходите“</w:t>
      </w:r>
      <w:r w:rsidR="00487CD3">
        <w:t>.</w:t>
      </w:r>
    </w:p>
    <w:p w:rsidR="00EC32D3" w:rsidRPr="002A3EAD" w:rsidRDefault="00557ABE" w:rsidP="00231E5C">
      <w:pPr>
        <w:pStyle w:val="BlockText"/>
        <w:ind w:left="0" w:right="-24" w:firstLine="708"/>
        <w:rPr>
          <w:rFonts w:ascii="Times New Roman" w:hAnsi="Times New Roman"/>
        </w:rPr>
      </w:pPr>
      <w:r w:rsidRPr="0001608C">
        <w:rPr>
          <w:rFonts w:ascii="Times New Roman" w:hAnsi="Times New Roman"/>
          <w:lang w:val="bg-BG"/>
        </w:rPr>
        <w:t>В</w:t>
      </w:r>
      <w:r w:rsidR="002A56C3" w:rsidRPr="0001608C">
        <w:rPr>
          <w:rFonts w:ascii="Times New Roman" w:hAnsi="Times New Roman"/>
          <w:lang w:val="ru-RU"/>
        </w:rPr>
        <w:t xml:space="preserve"> резултат на промените в РПИ Симферопол и п</w:t>
      </w:r>
      <w:r w:rsidR="002A56C3" w:rsidRPr="002A3EAD">
        <w:rPr>
          <w:rFonts w:ascii="Times New Roman" w:hAnsi="Times New Roman"/>
          <w:lang w:val="ru-RU"/>
        </w:rPr>
        <w:t xml:space="preserve">рерутиране на трафика от </w:t>
      </w:r>
      <w:r w:rsidR="002A56C3" w:rsidRPr="002A3EAD">
        <w:rPr>
          <w:rFonts w:ascii="Times New Roman" w:hAnsi="Times New Roman"/>
          <w:lang w:val="bg-BG"/>
        </w:rPr>
        <w:t>м</w:t>
      </w:r>
      <w:r w:rsidR="002A56C3" w:rsidRPr="002A3EAD">
        <w:rPr>
          <w:rFonts w:ascii="Times New Roman" w:hAnsi="Times New Roman"/>
        </w:rPr>
        <w:t>.</w:t>
      </w:r>
      <w:r w:rsidR="002A56C3" w:rsidRPr="002A3EAD">
        <w:rPr>
          <w:rFonts w:ascii="Times New Roman" w:hAnsi="Times New Roman"/>
          <w:lang w:val="ru-RU"/>
        </w:rPr>
        <w:t xml:space="preserve"> април 2014 г., </w:t>
      </w:r>
      <w:r w:rsidR="00ED4871" w:rsidRPr="002A3EAD">
        <w:rPr>
          <w:rFonts w:ascii="Times New Roman" w:hAnsi="Times New Roman"/>
          <w:lang w:val="ru-RU"/>
        </w:rPr>
        <w:t xml:space="preserve">увеличението </w:t>
      </w:r>
      <w:r w:rsidRPr="002A3EAD">
        <w:rPr>
          <w:rFonts w:ascii="Times New Roman" w:hAnsi="Times New Roman"/>
          <w:lang w:val="ru-RU"/>
        </w:rPr>
        <w:t xml:space="preserve">на прелитащия трафик </w:t>
      </w:r>
      <w:r w:rsidR="002A56C3" w:rsidRPr="002A3EAD">
        <w:rPr>
          <w:rFonts w:ascii="Times New Roman" w:hAnsi="Times New Roman"/>
          <w:lang w:val="ru-RU"/>
        </w:rPr>
        <w:t xml:space="preserve">е </w:t>
      </w:r>
      <w:r w:rsidR="00851CC3" w:rsidRPr="002A3EAD">
        <w:rPr>
          <w:rFonts w:ascii="Times New Roman" w:hAnsi="Times New Roman"/>
          <w:lang w:val="ru-RU"/>
        </w:rPr>
        <w:t>съществено</w:t>
      </w:r>
      <w:r w:rsidR="002A56C3" w:rsidRPr="002A3EAD">
        <w:rPr>
          <w:rFonts w:ascii="Times New Roman" w:hAnsi="Times New Roman"/>
          <w:lang w:val="ru-RU"/>
        </w:rPr>
        <w:t>.</w:t>
      </w:r>
      <w:r w:rsidR="00917C98" w:rsidRPr="002A3EAD">
        <w:rPr>
          <w:rFonts w:ascii="Times New Roman" w:hAnsi="Times New Roman"/>
          <w:lang w:val="ru-RU"/>
        </w:rPr>
        <w:t xml:space="preserve"> </w:t>
      </w:r>
      <w:r w:rsidR="00ED4871" w:rsidRPr="002A3EAD">
        <w:rPr>
          <w:rFonts w:ascii="Times New Roman" w:hAnsi="Times New Roman"/>
          <w:lang w:val="ru-RU"/>
        </w:rPr>
        <w:t xml:space="preserve">Като се изключи значителния ефект от пренасочване на трафика, </w:t>
      </w:r>
      <w:r w:rsidR="00856F20" w:rsidRPr="002A3EAD">
        <w:rPr>
          <w:rFonts w:ascii="Times New Roman" w:hAnsi="Times New Roman"/>
          <w:lang w:val="ru-RU"/>
        </w:rPr>
        <w:t>п</w:t>
      </w:r>
      <w:r w:rsidR="000B5FEE" w:rsidRPr="002A3EAD">
        <w:rPr>
          <w:rFonts w:ascii="Times New Roman" w:hAnsi="Times New Roman"/>
          <w:lang w:val="ru-RU"/>
        </w:rPr>
        <w:t xml:space="preserve">оложителните </w:t>
      </w:r>
      <w:r w:rsidR="00FB7932" w:rsidRPr="002A3EAD">
        <w:rPr>
          <w:rFonts w:ascii="Times New Roman" w:hAnsi="Times New Roman"/>
          <w:lang w:val="ru-RU"/>
        </w:rPr>
        <w:t xml:space="preserve">тенденции </w:t>
      </w:r>
      <w:r w:rsidR="00ED4871" w:rsidRPr="002A3EAD">
        <w:rPr>
          <w:rFonts w:ascii="Times New Roman" w:hAnsi="Times New Roman"/>
          <w:lang w:val="ru-RU"/>
        </w:rPr>
        <w:t xml:space="preserve">основно са </w:t>
      </w:r>
      <w:r w:rsidR="00FB7932" w:rsidRPr="002A3EAD">
        <w:rPr>
          <w:rFonts w:ascii="Times New Roman" w:hAnsi="Times New Roman"/>
          <w:lang w:val="ru-RU"/>
        </w:rPr>
        <w:t>свързани с потоците от/до Турция</w:t>
      </w:r>
      <w:r w:rsidR="00E85848" w:rsidRPr="002A3EAD">
        <w:rPr>
          <w:rFonts w:ascii="Times New Roman" w:hAnsi="Times New Roman"/>
          <w:lang w:val="bg-BG"/>
        </w:rPr>
        <w:t xml:space="preserve"> и</w:t>
      </w:r>
      <w:r w:rsidR="00203431" w:rsidRPr="002A3EAD">
        <w:rPr>
          <w:rFonts w:ascii="Times New Roman" w:hAnsi="Times New Roman"/>
          <w:lang w:val="bg-BG"/>
        </w:rPr>
        <w:t xml:space="preserve"> </w:t>
      </w:r>
      <w:r w:rsidR="00021D4F" w:rsidRPr="002A3EAD">
        <w:rPr>
          <w:rFonts w:ascii="Times New Roman" w:hAnsi="Times New Roman"/>
          <w:lang w:val="bg-BG"/>
        </w:rPr>
        <w:t>Близкия изток</w:t>
      </w:r>
      <w:r w:rsidR="00E00BBC" w:rsidRPr="002A3EAD">
        <w:rPr>
          <w:rFonts w:ascii="Times New Roman" w:hAnsi="Times New Roman"/>
          <w:lang w:val="ru-RU"/>
        </w:rPr>
        <w:t xml:space="preserve">. </w:t>
      </w:r>
      <w:r w:rsidR="00ED4871" w:rsidRPr="002A3EAD">
        <w:rPr>
          <w:rFonts w:ascii="Times New Roman" w:hAnsi="Times New Roman"/>
          <w:lang w:val="ru-RU"/>
        </w:rPr>
        <w:t xml:space="preserve">Голямото </w:t>
      </w:r>
      <w:r w:rsidR="00ED4871" w:rsidRPr="002A3EAD">
        <w:rPr>
          <w:rFonts w:ascii="Times New Roman" w:hAnsi="Times New Roman"/>
          <w:lang w:val="bg-BG"/>
        </w:rPr>
        <w:t>н</w:t>
      </w:r>
      <w:r w:rsidR="00917C98" w:rsidRPr="002A3EAD">
        <w:rPr>
          <w:rFonts w:ascii="Times New Roman" w:hAnsi="Times New Roman"/>
          <w:lang w:val="bg-BG"/>
        </w:rPr>
        <w:t>арастване</w:t>
      </w:r>
      <w:r w:rsidR="008611F0" w:rsidRPr="002A3EAD">
        <w:rPr>
          <w:rFonts w:ascii="Times New Roman" w:hAnsi="Times New Roman"/>
          <w:lang w:val="bg-BG"/>
        </w:rPr>
        <w:t xml:space="preserve"> на </w:t>
      </w:r>
      <w:r w:rsidR="00B47350" w:rsidRPr="002A3EAD">
        <w:rPr>
          <w:rFonts w:ascii="Times New Roman" w:hAnsi="Times New Roman"/>
          <w:lang w:val="bg-BG"/>
        </w:rPr>
        <w:t>трафик</w:t>
      </w:r>
      <w:r w:rsidR="008611F0" w:rsidRPr="002A3EAD">
        <w:rPr>
          <w:rFonts w:ascii="Times New Roman" w:hAnsi="Times New Roman"/>
          <w:lang w:val="bg-BG"/>
        </w:rPr>
        <w:t>а</w:t>
      </w:r>
      <w:r w:rsidR="00B47350" w:rsidRPr="002A3EAD">
        <w:rPr>
          <w:rFonts w:ascii="Times New Roman" w:hAnsi="Times New Roman"/>
          <w:lang w:val="bg-BG"/>
        </w:rPr>
        <w:t xml:space="preserve"> от/до Близкия</w:t>
      </w:r>
      <w:r w:rsidR="00856F20" w:rsidRPr="002A3EAD">
        <w:rPr>
          <w:rFonts w:ascii="Times New Roman" w:hAnsi="Times New Roman"/>
          <w:lang w:val="bg-BG"/>
        </w:rPr>
        <w:t xml:space="preserve"> </w:t>
      </w:r>
      <w:r w:rsidR="00B47350" w:rsidRPr="002A3EAD">
        <w:rPr>
          <w:rFonts w:ascii="Times New Roman" w:hAnsi="Times New Roman"/>
          <w:lang w:val="bg-BG"/>
        </w:rPr>
        <w:t>изток</w:t>
      </w:r>
      <w:r w:rsidR="00917C98" w:rsidRPr="002A3EAD">
        <w:rPr>
          <w:rFonts w:ascii="Times New Roman" w:hAnsi="Times New Roman"/>
          <w:lang w:val="bg-BG"/>
        </w:rPr>
        <w:t xml:space="preserve"> е основно резултат от наложените ограничения във</w:t>
      </w:r>
      <w:r w:rsidR="00917C98" w:rsidRPr="002A3EAD">
        <w:rPr>
          <w:rFonts w:ascii="Times New Roman" w:hAnsi="Times New Roman"/>
          <w:lang w:val="en-GB"/>
        </w:rPr>
        <w:t xml:space="preserve"> въздушното пространство на </w:t>
      </w:r>
      <w:r w:rsidR="00C105B0">
        <w:rPr>
          <w:rFonts w:ascii="Times New Roman" w:hAnsi="Times New Roman"/>
          <w:lang w:val="bg-BG"/>
        </w:rPr>
        <w:t>РПИ</w:t>
      </w:r>
      <w:r w:rsidR="00917C98" w:rsidRPr="002A3EAD">
        <w:rPr>
          <w:rFonts w:ascii="Times New Roman" w:hAnsi="Times New Roman"/>
          <w:lang w:val="en-GB"/>
        </w:rPr>
        <w:t xml:space="preserve"> Симферопол</w:t>
      </w:r>
      <w:r w:rsidRPr="002A3EAD">
        <w:rPr>
          <w:rFonts w:ascii="Times New Roman" w:hAnsi="Times New Roman"/>
          <w:lang w:val="bg-BG"/>
        </w:rPr>
        <w:t xml:space="preserve"> и </w:t>
      </w:r>
      <w:r w:rsidR="00C105B0">
        <w:rPr>
          <w:rFonts w:ascii="Times New Roman" w:hAnsi="Times New Roman"/>
          <w:lang w:val="bg-BG"/>
        </w:rPr>
        <w:t>РПИ</w:t>
      </w:r>
      <w:r w:rsidRPr="002A3EAD">
        <w:rPr>
          <w:rFonts w:ascii="Times New Roman" w:hAnsi="Times New Roman"/>
          <w:lang w:val="bg-BG"/>
        </w:rPr>
        <w:t xml:space="preserve"> Днепропетровск</w:t>
      </w:r>
      <w:r w:rsidR="00B47350" w:rsidRPr="002A3EAD">
        <w:rPr>
          <w:rFonts w:ascii="Times New Roman" w:hAnsi="Times New Roman"/>
          <w:lang w:val="bg-BG"/>
        </w:rPr>
        <w:t xml:space="preserve">. </w:t>
      </w:r>
      <w:r w:rsidR="002A56C3" w:rsidRPr="002A3EAD">
        <w:rPr>
          <w:rFonts w:ascii="Times New Roman" w:hAnsi="Times New Roman"/>
          <w:lang w:val="bg-BG"/>
        </w:rPr>
        <w:t xml:space="preserve">Независимо от </w:t>
      </w:r>
      <w:r w:rsidR="00B47350" w:rsidRPr="002A3EAD">
        <w:rPr>
          <w:rFonts w:ascii="Times New Roman" w:hAnsi="Times New Roman"/>
          <w:lang w:val="bg-BG"/>
        </w:rPr>
        <w:t>това</w:t>
      </w:r>
      <w:r w:rsidR="002A56C3" w:rsidRPr="002A3EAD">
        <w:rPr>
          <w:rFonts w:ascii="Times New Roman" w:hAnsi="Times New Roman"/>
          <w:lang w:val="bg-BG"/>
        </w:rPr>
        <w:t xml:space="preserve">, факторите, които имат отрицателно влияние върху обема на този поток, са непроменени и при развитие на ситуацията в РПИ Симферопол, ще се проявят. </w:t>
      </w:r>
    </w:p>
    <w:p w:rsidR="00856F20" w:rsidRPr="002A3EAD" w:rsidRDefault="00856F20" w:rsidP="00856F20">
      <w:pPr>
        <w:pStyle w:val="BlockText"/>
        <w:ind w:right="-18"/>
        <w:rPr>
          <w:rFonts w:ascii="Times New Roman" w:hAnsi="Times New Roman"/>
          <w:lang w:val="bg-BG"/>
        </w:rPr>
      </w:pPr>
      <w:r w:rsidRPr="002A3EAD">
        <w:rPr>
          <w:rFonts w:ascii="Times New Roman" w:hAnsi="Times New Roman"/>
          <w:lang w:val="bg-BG"/>
        </w:rPr>
        <w:t>Върху потоците от прелитащи въздухоплавателни средства, значително влияние оказват и ще оказват следните събития:</w:t>
      </w:r>
    </w:p>
    <w:p w:rsidR="00BF7717" w:rsidRDefault="00BF7717" w:rsidP="00BF7717">
      <w:pPr>
        <w:pStyle w:val="BlockText"/>
        <w:numPr>
          <w:ilvl w:val="0"/>
          <w:numId w:val="31"/>
        </w:numPr>
        <w:ind w:right="-18"/>
        <w:rPr>
          <w:rFonts w:ascii="Times New Roman" w:hAnsi="Times New Roman"/>
          <w:lang w:val="bg-BG"/>
        </w:rPr>
      </w:pPr>
      <w:r w:rsidRPr="002A3EAD">
        <w:rPr>
          <w:rFonts w:ascii="Times New Roman" w:hAnsi="Times New Roman"/>
          <w:lang w:val="bg-BG"/>
        </w:rPr>
        <w:t xml:space="preserve">На 03.04.2014 г. бе отворено въздушното пространство на Косово (т. нар. сектор на </w:t>
      </w:r>
      <w:r w:rsidRPr="002A3EAD">
        <w:rPr>
          <w:rFonts w:ascii="Times New Roman" w:hAnsi="Times New Roman"/>
        </w:rPr>
        <w:t>KFOR)</w:t>
      </w:r>
      <w:r w:rsidRPr="002A3EAD">
        <w:rPr>
          <w:rFonts w:ascii="Times New Roman" w:hAnsi="Times New Roman"/>
          <w:lang w:val="bg-BG"/>
        </w:rPr>
        <w:t xml:space="preserve">, което ще се обслужва за период от 5 години от унгарския доставчик на АНО – </w:t>
      </w:r>
      <w:r w:rsidRPr="002A3EAD">
        <w:rPr>
          <w:rFonts w:ascii="Times New Roman" w:hAnsi="Times New Roman"/>
        </w:rPr>
        <w:t xml:space="preserve">Hungarocontrol. </w:t>
      </w:r>
      <w:r w:rsidRPr="002A3EAD">
        <w:rPr>
          <w:rFonts w:ascii="Times New Roman" w:hAnsi="Times New Roman"/>
          <w:lang w:val="bg-BG"/>
        </w:rPr>
        <w:t>Като цяло това действие повлия в отрицателна посока върху потоците от/до Гърция, Кипър и Израел и от/до Северна Африка. Направен е анализ върху натоварването на кои трасета ще се отрази негативно отварянето на въздушното пространство на Косово. Наблюдавания</w:t>
      </w:r>
      <w:r w:rsidR="00FD765C" w:rsidRPr="002A3EAD">
        <w:rPr>
          <w:rFonts w:ascii="Times New Roman" w:hAnsi="Times New Roman"/>
          <w:lang w:val="bg-BG"/>
        </w:rPr>
        <w:t>т</w:t>
      </w:r>
      <w:r w:rsidRPr="002A3EAD">
        <w:rPr>
          <w:rFonts w:ascii="Times New Roman" w:hAnsi="Times New Roman"/>
          <w:lang w:val="bg-BG"/>
        </w:rPr>
        <w:t xml:space="preserve"> ефект върху трафика към края на </w:t>
      </w:r>
      <w:r w:rsidRPr="002A3EAD">
        <w:rPr>
          <w:rFonts w:ascii="Times New Roman" w:hAnsi="Times New Roman"/>
        </w:rPr>
        <w:t xml:space="preserve">2015 </w:t>
      </w:r>
      <w:r w:rsidRPr="002A3EAD">
        <w:rPr>
          <w:rFonts w:ascii="Times New Roman" w:hAnsi="Times New Roman"/>
          <w:lang w:val="bg-BG"/>
        </w:rPr>
        <w:t>г. от въвеждането на тези трасета е разнопосочен. Анализът на този ефект, флуктуациите в броя на обслужените ВС, разпределението на трафика, генериран от авиокомпании се извършва ежемесечно</w:t>
      </w:r>
      <w:r w:rsidR="00A30E81">
        <w:rPr>
          <w:rFonts w:ascii="Times New Roman" w:hAnsi="Times New Roman"/>
          <w:lang w:val="bg-BG"/>
        </w:rPr>
        <w:t xml:space="preserve">. </w:t>
      </w:r>
      <w:r w:rsidR="00C3300F">
        <w:rPr>
          <w:rFonts w:ascii="Times New Roman" w:hAnsi="Times New Roman"/>
          <w:lang w:val="bg-BG"/>
        </w:rPr>
        <w:t>П</w:t>
      </w:r>
      <w:r w:rsidRPr="002A3EAD">
        <w:rPr>
          <w:rFonts w:ascii="Times New Roman" w:hAnsi="Times New Roman"/>
          <w:lang w:val="bg-BG"/>
        </w:rPr>
        <w:t xml:space="preserve">ромените в структурата на потоците от/до съответните дестинации и степента на влияние върху обема на трафика през нашето ВП </w:t>
      </w:r>
      <w:r w:rsidR="00CB1E93">
        <w:rPr>
          <w:rFonts w:ascii="Times New Roman" w:hAnsi="Times New Roman"/>
          <w:lang w:val="bg-BG"/>
        </w:rPr>
        <w:t xml:space="preserve">конкретно за Гърция и Израел (влияещи се най-съществено от отварянето на ВП на Косово) </w:t>
      </w:r>
      <w:r w:rsidR="00C3300F">
        <w:rPr>
          <w:rFonts w:ascii="Times New Roman" w:hAnsi="Times New Roman"/>
          <w:lang w:val="bg-BG"/>
        </w:rPr>
        <w:t xml:space="preserve">зависят от </w:t>
      </w:r>
      <w:r w:rsidRPr="002A3EAD">
        <w:rPr>
          <w:rFonts w:ascii="Times New Roman" w:hAnsi="Times New Roman"/>
          <w:lang w:val="bg-BG"/>
        </w:rPr>
        <w:t>цена на горивото, прелетяно разстояние, оперативни условия, размер на таксите за АНО и др</w:t>
      </w:r>
      <w:r w:rsidR="007D2A96">
        <w:rPr>
          <w:rFonts w:ascii="Times New Roman" w:hAnsi="Times New Roman"/>
          <w:lang w:val="bg-BG"/>
        </w:rPr>
        <w:t>.</w:t>
      </w:r>
      <w:r w:rsidRPr="002A3EAD">
        <w:rPr>
          <w:rFonts w:ascii="Times New Roman" w:hAnsi="Times New Roman"/>
          <w:lang w:val="bg-BG"/>
        </w:rPr>
        <w:t>;</w:t>
      </w:r>
    </w:p>
    <w:p w:rsidR="004347F3" w:rsidRPr="002A3EAD" w:rsidRDefault="004347F3" w:rsidP="004347F3">
      <w:pPr>
        <w:pStyle w:val="BlockText"/>
        <w:ind w:left="1080" w:right="-18" w:firstLine="0"/>
        <w:rPr>
          <w:rFonts w:ascii="Times New Roman" w:hAnsi="Times New Roman"/>
          <w:lang w:val="bg-BG"/>
        </w:rPr>
      </w:pPr>
    </w:p>
    <w:p w:rsidR="006E1BD0" w:rsidRPr="00950921" w:rsidRDefault="00BF7717" w:rsidP="00950921">
      <w:pPr>
        <w:pStyle w:val="BlockText"/>
        <w:numPr>
          <w:ilvl w:val="0"/>
          <w:numId w:val="31"/>
        </w:numPr>
        <w:ind w:right="-18"/>
        <w:rPr>
          <w:rFonts w:ascii="Times New Roman" w:hAnsi="Times New Roman"/>
          <w:lang w:val="bg-BG"/>
        </w:rPr>
      </w:pPr>
      <w:r w:rsidRPr="002A3EAD">
        <w:rPr>
          <w:rFonts w:ascii="Times New Roman" w:hAnsi="Times New Roman"/>
          <w:lang w:val="bg-BG"/>
        </w:rPr>
        <w:t xml:space="preserve">Във връзка с проведения референдум в Крим през м. март 2014 г., от страна на Русия бе декларирано, че тя поема обслужването на трафика в Район на полетна информация (РПИ) Симферопол, в т.ч. и във въздушното пространство над открито море. Последното по международните договорености е делегирано на Украйна. Поради наличието на два органа за ОВД в едно въздушно пространство (ВП), което е недопустимо от гледна точка на безопасността, </w:t>
      </w:r>
      <w:r w:rsidR="00C940F9">
        <w:rPr>
          <w:rFonts w:ascii="Times New Roman" w:hAnsi="Times New Roman"/>
          <w:lang w:val="bg-BG"/>
        </w:rPr>
        <w:t xml:space="preserve">от страна на ICAO е отправена препоръка да не се лети през това ВП до изясняване на обстановката (позицията на </w:t>
      </w:r>
      <w:r w:rsidR="00C940F9">
        <w:rPr>
          <w:rFonts w:ascii="Times New Roman" w:hAnsi="Times New Roman"/>
        </w:rPr>
        <w:t xml:space="preserve">EASA </w:t>
      </w:r>
      <w:r w:rsidR="00C940F9">
        <w:rPr>
          <w:rFonts w:ascii="Times New Roman" w:hAnsi="Times New Roman"/>
          <w:lang w:val="bg-BG"/>
        </w:rPr>
        <w:t>и Евроконтрол претърпя известно развитие)</w:t>
      </w:r>
      <w:r w:rsidRPr="002A3EAD">
        <w:rPr>
          <w:rFonts w:ascii="Times New Roman" w:hAnsi="Times New Roman"/>
          <w:lang w:val="bg-BG"/>
        </w:rPr>
        <w:t>. Това доведе до значително увеличение на трафика през нашето ВП на въздухоплавателни средства, които изпълняват полети от/до Близкия Изток, Далечния изток, както и на част от трафика от/за Русия до Средиземно море, който преди летеше основно през ВП на РПИ Симферопол. Допълнително, на 18.07.2014 г., вследствие на инцидента с полет MH17 на Малайзийските авиолинии, украинските власти взеха решение за затваряне за полети на източната част на РПИ Днепропетровск. Наблюденията сочат, че голяма част от авиопревозвачите избягват целия РПИ Днепропетровск, не само затворената източна част. Това доведе до допълнително увеличение на трафика през нашето ВП на въздухоплавателни средства, които изпълняват полети основно от/до Далечния изток;</w:t>
      </w:r>
    </w:p>
    <w:p w:rsidR="00F64AB4" w:rsidRPr="002A3EAD" w:rsidRDefault="00363DC2" w:rsidP="00F64AB4">
      <w:pPr>
        <w:pStyle w:val="BlockText"/>
        <w:numPr>
          <w:ilvl w:val="0"/>
          <w:numId w:val="31"/>
        </w:numPr>
        <w:ind w:right="-18"/>
        <w:rPr>
          <w:rFonts w:ascii="Times New Roman" w:hAnsi="Times New Roman"/>
          <w:lang w:val="bg-BG"/>
        </w:rPr>
      </w:pPr>
      <w:r>
        <w:rPr>
          <w:rFonts w:ascii="Times New Roman" w:hAnsi="Times New Roman"/>
          <w:lang w:val="bg-BG"/>
        </w:rPr>
        <w:t xml:space="preserve">Във връзка с продължаването на </w:t>
      </w:r>
      <w:r w:rsidR="00BF7717" w:rsidRPr="002A3EAD">
        <w:rPr>
          <w:rFonts w:ascii="Times New Roman" w:hAnsi="Times New Roman"/>
          <w:lang w:val="bg-BG"/>
        </w:rPr>
        <w:t>конфликт</w:t>
      </w:r>
      <w:r>
        <w:rPr>
          <w:rFonts w:ascii="Times New Roman" w:hAnsi="Times New Roman"/>
          <w:lang w:val="bg-BG"/>
        </w:rPr>
        <w:t>а</w:t>
      </w:r>
      <w:r w:rsidR="00BF7717" w:rsidRPr="002A3EAD">
        <w:rPr>
          <w:rFonts w:ascii="Times New Roman" w:hAnsi="Times New Roman"/>
          <w:lang w:val="bg-BG"/>
        </w:rPr>
        <w:t xml:space="preserve"> в Сирия, въздушното пространс</w:t>
      </w:r>
      <w:r w:rsidR="00F17EFB" w:rsidRPr="002A3EAD">
        <w:rPr>
          <w:rFonts w:ascii="Times New Roman" w:hAnsi="Times New Roman"/>
          <w:lang w:val="bg-BG"/>
        </w:rPr>
        <w:t>тво над т</w:t>
      </w:r>
      <w:r>
        <w:rPr>
          <w:rFonts w:ascii="Times New Roman" w:hAnsi="Times New Roman"/>
          <w:lang w:val="bg-BG"/>
        </w:rPr>
        <w:t>а</w:t>
      </w:r>
      <w:r w:rsidR="00F17EFB" w:rsidRPr="002A3EAD">
        <w:rPr>
          <w:rFonts w:ascii="Times New Roman" w:hAnsi="Times New Roman"/>
          <w:lang w:val="bg-BG"/>
        </w:rPr>
        <w:t xml:space="preserve">зи </w:t>
      </w:r>
      <w:r w:rsidRPr="002A3EAD">
        <w:rPr>
          <w:rFonts w:ascii="Times New Roman" w:hAnsi="Times New Roman"/>
          <w:lang w:val="bg-BG"/>
        </w:rPr>
        <w:lastRenderedPageBreak/>
        <w:t>държав</w:t>
      </w:r>
      <w:r>
        <w:rPr>
          <w:rFonts w:ascii="Times New Roman" w:hAnsi="Times New Roman"/>
          <w:lang w:val="bg-BG"/>
        </w:rPr>
        <w:t>а</w:t>
      </w:r>
      <w:r w:rsidRPr="002A3EAD">
        <w:rPr>
          <w:rFonts w:ascii="Times New Roman" w:hAnsi="Times New Roman"/>
          <w:lang w:val="bg-BG"/>
        </w:rPr>
        <w:t xml:space="preserve"> </w:t>
      </w:r>
      <w:r>
        <w:rPr>
          <w:rFonts w:ascii="Times New Roman" w:hAnsi="Times New Roman"/>
          <w:lang w:val="bg-BG"/>
        </w:rPr>
        <w:t xml:space="preserve">продължава да </w:t>
      </w:r>
      <w:r w:rsidR="00BF7717" w:rsidRPr="002A3EAD">
        <w:rPr>
          <w:rFonts w:ascii="Times New Roman" w:hAnsi="Times New Roman"/>
          <w:lang w:val="bg-BG"/>
        </w:rPr>
        <w:t xml:space="preserve">се използва </w:t>
      </w:r>
      <w:r>
        <w:rPr>
          <w:rFonts w:ascii="Times New Roman" w:hAnsi="Times New Roman"/>
          <w:lang w:val="bg-BG"/>
        </w:rPr>
        <w:t xml:space="preserve">крайно ограничено </w:t>
      </w:r>
      <w:r w:rsidR="00BF7717" w:rsidRPr="002A3EAD">
        <w:rPr>
          <w:rFonts w:ascii="Times New Roman" w:hAnsi="Times New Roman"/>
          <w:lang w:val="bg-BG"/>
        </w:rPr>
        <w:t xml:space="preserve">за полети на гражданската авиация с някои малки изключения. </w:t>
      </w:r>
      <w:r w:rsidR="00F64AB4" w:rsidRPr="002A3EAD">
        <w:rPr>
          <w:rFonts w:ascii="Times New Roman" w:hAnsi="Times New Roman"/>
          <w:lang w:val="bg-BG"/>
        </w:rPr>
        <w:t xml:space="preserve">По отношение на тези ограничения следва да се добави, че на </w:t>
      </w:r>
      <w:r w:rsidR="00F64AB4" w:rsidRPr="002A3EAD">
        <w:rPr>
          <w:rFonts w:ascii="Times New Roman" w:hAnsi="Times New Roman"/>
        </w:rPr>
        <w:t>08.04.2014 г. с NOTAM, турският доставчик на АНО – DHMI, затвори трасето UP</w:t>
      </w:r>
      <w:r w:rsidR="00F64AB4" w:rsidRPr="002A3EAD">
        <w:rPr>
          <w:rFonts w:ascii="Times New Roman" w:hAnsi="Times New Roman"/>
          <w:lang w:val="ru-RU"/>
        </w:rPr>
        <w:t xml:space="preserve">975 </w:t>
      </w:r>
      <w:r w:rsidR="00F64AB4" w:rsidRPr="002A3EAD">
        <w:rPr>
          <w:rFonts w:ascii="Times New Roman" w:hAnsi="Times New Roman"/>
        </w:rPr>
        <w:t xml:space="preserve">през въздушното пространство на Сирия, което представляваше по-кратка опция за летене в посока Персийския залив. Това трасе бе открито на 07.04.2011 г. и бе използвано основно от някои големи авиокомпании от района на Персийския залив като по-кратка опция за полети до тази дестинация. След това, с развитието на конфликта в Сирия през 2012 г., броят на компаниите, които го използваха намаля. Това трасе се свързва с мрежата през българското въздушно пространство, като затварянето му предполага трафикът в югоизточна посока за </w:t>
      </w:r>
      <w:r w:rsidR="00F64AB4" w:rsidRPr="002A3EAD">
        <w:rPr>
          <w:rFonts w:ascii="Times New Roman" w:hAnsi="Times New Roman"/>
          <w:lang w:val="ru-RU"/>
        </w:rPr>
        <w:t>Близкия изток (</w:t>
      </w:r>
      <w:r w:rsidR="00F64AB4" w:rsidRPr="002A3EAD">
        <w:rPr>
          <w:rFonts w:ascii="Times New Roman" w:hAnsi="Times New Roman"/>
        </w:rPr>
        <w:t>Персийския залив) отново да минава основно през Румъния</w:t>
      </w:r>
      <w:r w:rsidR="00D830AE">
        <w:rPr>
          <w:rFonts w:ascii="Times New Roman" w:hAnsi="Times New Roman"/>
        </w:rPr>
        <w:t>.</w:t>
      </w:r>
      <w:r>
        <w:rPr>
          <w:rFonts w:ascii="Times New Roman" w:hAnsi="Times New Roman"/>
          <w:lang w:val="bg-BG"/>
        </w:rPr>
        <w:t xml:space="preserve"> Във връзка с подобряването на ситуацията в Ирак, ВП на тази държава се използва от все повече авиокомпании за прелитане в горното ВП. Използването на долното ВП е крайно ограничено поради съобра</w:t>
      </w:r>
      <w:r w:rsidR="004D08E8">
        <w:rPr>
          <w:rFonts w:ascii="Times New Roman" w:hAnsi="Times New Roman"/>
          <w:lang w:val="bg-BG"/>
        </w:rPr>
        <w:t>жения, свързани с безопасността;</w:t>
      </w:r>
    </w:p>
    <w:p w:rsidR="00EC32D3" w:rsidRPr="002A3EAD" w:rsidRDefault="00EC32D3" w:rsidP="00EC32D3">
      <w:pPr>
        <w:pStyle w:val="BlockText"/>
        <w:ind w:left="0" w:right="-18" w:firstLine="0"/>
        <w:rPr>
          <w:rFonts w:ascii="Times New Roman" w:hAnsi="Times New Roman"/>
          <w:lang w:val="bg-BG"/>
        </w:rPr>
      </w:pPr>
    </w:p>
    <w:p w:rsidR="00E05C68" w:rsidRDefault="00BF7717" w:rsidP="00CE771E">
      <w:pPr>
        <w:pStyle w:val="BlockText"/>
        <w:numPr>
          <w:ilvl w:val="0"/>
          <w:numId w:val="31"/>
        </w:numPr>
        <w:ind w:right="-18"/>
        <w:rPr>
          <w:rFonts w:ascii="Times New Roman" w:hAnsi="Times New Roman"/>
          <w:lang w:val="bg-BG"/>
        </w:rPr>
      </w:pPr>
      <w:r w:rsidRPr="002A3EAD">
        <w:rPr>
          <w:rFonts w:ascii="Times New Roman" w:hAnsi="Times New Roman"/>
          <w:lang w:val="bg-BG"/>
        </w:rPr>
        <w:t>Подобна е ситуацията над Либия, както и над Синайския полуостров, където въздушното пространство е затворено до определена височина</w:t>
      </w:r>
      <w:r w:rsidR="00A00BB0" w:rsidRPr="002A3EAD">
        <w:rPr>
          <w:rFonts w:ascii="Times New Roman" w:hAnsi="Times New Roman"/>
          <w:lang w:val="bg-BG"/>
        </w:rPr>
        <w:t xml:space="preserve"> (последните две въздушни пространства имат </w:t>
      </w:r>
      <w:r w:rsidR="00A70CCE" w:rsidRPr="002A3EAD">
        <w:rPr>
          <w:rFonts w:ascii="Times New Roman" w:hAnsi="Times New Roman"/>
          <w:lang w:val="bg-BG"/>
        </w:rPr>
        <w:t>трудно прогнозируем</w:t>
      </w:r>
      <w:r w:rsidR="00A00BB0" w:rsidRPr="002A3EAD">
        <w:rPr>
          <w:rFonts w:ascii="Times New Roman" w:hAnsi="Times New Roman"/>
          <w:lang w:val="bg-BG"/>
        </w:rPr>
        <w:t xml:space="preserve"> ефект по отношение на полетите през обслужваното ВП от ДП РВД). </w:t>
      </w:r>
      <w:r w:rsidRPr="002A3EAD">
        <w:rPr>
          <w:rFonts w:ascii="Times New Roman" w:hAnsi="Times New Roman"/>
          <w:lang w:val="bg-BG"/>
        </w:rPr>
        <w:t>Отбелязаното до тук заедно с това че капацитета на Саудитска Арабия</w:t>
      </w:r>
      <w:r w:rsidR="004F3C81">
        <w:rPr>
          <w:rFonts w:ascii="Times New Roman" w:hAnsi="Times New Roman"/>
        </w:rPr>
        <w:t>,</w:t>
      </w:r>
      <w:r w:rsidRPr="002A3EAD">
        <w:rPr>
          <w:rFonts w:ascii="Times New Roman" w:hAnsi="Times New Roman"/>
          <w:lang w:val="bg-BG"/>
        </w:rPr>
        <w:t xml:space="preserve"> Египет и Кипър е недостатъчен за поемане на допълнителен трафик от/за Персийският залив пред</w:t>
      </w:r>
      <w:r w:rsidR="00A00BB0" w:rsidRPr="002A3EAD">
        <w:rPr>
          <w:rFonts w:ascii="Times New Roman" w:hAnsi="Times New Roman"/>
          <w:lang w:val="bg-BG"/>
        </w:rPr>
        <w:t xml:space="preserve">полага основната част от </w:t>
      </w:r>
      <w:r w:rsidRPr="002A3EAD">
        <w:rPr>
          <w:rFonts w:ascii="Times New Roman" w:hAnsi="Times New Roman"/>
          <w:lang w:val="bg-BG"/>
        </w:rPr>
        <w:t>полетите от/за Близкият изток да летят през България, Турция, Иран;</w:t>
      </w:r>
    </w:p>
    <w:p w:rsidR="004D08E8" w:rsidRPr="00CE771E" w:rsidRDefault="004D08E8" w:rsidP="004D08E8">
      <w:pPr>
        <w:pStyle w:val="BlockText"/>
        <w:ind w:left="0" w:right="-18" w:firstLine="0"/>
        <w:rPr>
          <w:rFonts w:ascii="Times New Roman" w:hAnsi="Times New Roman"/>
          <w:lang w:val="bg-BG"/>
        </w:rPr>
      </w:pPr>
    </w:p>
    <w:p w:rsidR="007A2D5E" w:rsidRDefault="00E97522" w:rsidP="00D05E09">
      <w:pPr>
        <w:pStyle w:val="BlockText"/>
        <w:numPr>
          <w:ilvl w:val="0"/>
          <w:numId w:val="31"/>
        </w:numPr>
        <w:ind w:right="-18"/>
        <w:rPr>
          <w:rFonts w:ascii="Times New Roman" w:hAnsi="Times New Roman"/>
          <w:lang w:val="bg-BG"/>
        </w:rPr>
      </w:pPr>
      <w:r>
        <w:rPr>
          <w:rFonts w:ascii="Times New Roman" w:hAnsi="Times New Roman"/>
          <w:lang w:val="bg-BG"/>
        </w:rPr>
        <w:t>Във връзка с развитието на ситуацията в Турция се наблюдава</w:t>
      </w:r>
      <w:r w:rsidR="00363DC2">
        <w:rPr>
          <w:rFonts w:ascii="Times New Roman" w:hAnsi="Times New Roman"/>
          <w:lang w:val="bg-BG"/>
        </w:rPr>
        <w:t>ше</w:t>
      </w:r>
      <w:r>
        <w:rPr>
          <w:rFonts w:ascii="Times New Roman" w:hAnsi="Times New Roman"/>
          <w:lang w:val="bg-BG"/>
        </w:rPr>
        <w:t xml:space="preserve"> намаление на потока от туристи от Европа до морските курорти в тази държава. На този етап все още не може да се каже със сигурност дали това ще се превърне </w:t>
      </w:r>
      <w:r w:rsidR="00E05C68">
        <w:rPr>
          <w:rFonts w:ascii="Times New Roman" w:hAnsi="Times New Roman"/>
          <w:lang w:val="bg-BG"/>
        </w:rPr>
        <w:t xml:space="preserve">в </w:t>
      </w:r>
      <w:r>
        <w:rPr>
          <w:rFonts w:ascii="Times New Roman" w:hAnsi="Times New Roman"/>
          <w:lang w:val="bg-BG"/>
        </w:rPr>
        <w:t>трайна тенденция или представлява временно явление.</w:t>
      </w:r>
      <w:r w:rsidR="00E05C68">
        <w:rPr>
          <w:rFonts w:ascii="Times New Roman" w:hAnsi="Times New Roman"/>
          <w:lang w:val="bg-BG"/>
        </w:rPr>
        <w:t xml:space="preserve"> </w:t>
      </w:r>
      <w:r w:rsidR="00CB1E93">
        <w:rPr>
          <w:rFonts w:ascii="Times New Roman" w:hAnsi="Times New Roman"/>
          <w:lang w:val="bg-BG"/>
        </w:rPr>
        <w:t>От второто полугодие на 2017 г. се наблюдава постепенно възстановяване на този поток, като през 2018 г. се очаква значително увеличение на полетите от/до турските морски курорти от Западна Европа.</w:t>
      </w:r>
    </w:p>
    <w:p w:rsidR="007A2D5E" w:rsidRPr="007A2D5E" w:rsidRDefault="007A2D5E" w:rsidP="007A2D5E"/>
    <w:p w:rsidR="00E97522" w:rsidRPr="002A3EAD" w:rsidRDefault="002A544A" w:rsidP="00D05E09">
      <w:pPr>
        <w:pStyle w:val="BlockText"/>
        <w:numPr>
          <w:ilvl w:val="0"/>
          <w:numId w:val="31"/>
        </w:numPr>
        <w:ind w:right="-18"/>
        <w:rPr>
          <w:rFonts w:ascii="Times New Roman" w:hAnsi="Times New Roman"/>
          <w:lang w:val="bg-BG"/>
        </w:rPr>
      </w:pPr>
      <w:r>
        <w:rPr>
          <w:rFonts w:ascii="Times New Roman" w:hAnsi="Times New Roman"/>
          <w:lang w:val="bg-BG"/>
        </w:rPr>
        <w:t>Силно ограничени са полетите между Русия и Египет</w:t>
      </w:r>
      <w:r w:rsidR="00E05C68">
        <w:rPr>
          <w:rFonts w:ascii="Times New Roman" w:hAnsi="Times New Roman"/>
          <w:lang w:val="bg-BG"/>
        </w:rPr>
        <w:t xml:space="preserve"> </w:t>
      </w:r>
      <w:r>
        <w:rPr>
          <w:rFonts w:ascii="Times New Roman" w:hAnsi="Times New Roman"/>
          <w:lang w:val="bg-BG"/>
        </w:rPr>
        <w:t>с</w:t>
      </w:r>
      <w:r w:rsidR="00E05C68">
        <w:rPr>
          <w:rFonts w:ascii="Times New Roman" w:hAnsi="Times New Roman"/>
          <w:lang w:val="bg-BG"/>
        </w:rPr>
        <w:t>лед инцидента със самолета на авиокомпания „Когалим</w:t>
      </w:r>
      <w:r>
        <w:rPr>
          <w:rFonts w:ascii="Times New Roman" w:hAnsi="Times New Roman"/>
          <w:lang w:val="bg-BG"/>
        </w:rPr>
        <w:t>а Авиа“ през м. октомври 2015 г</w:t>
      </w:r>
      <w:r w:rsidR="00E05C68">
        <w:rPr>
          <w:rFonts w:ascii="Times New Roman" w:hAnsi="Times New Roman"/>
          <w:lang w:val="bg-BG"/>
        </w:rPr>
        <w:t>.</w:t>
      </w:r>
      <w:r w:rsidR="007A2D5E">
        <w:rPr>
          <w:rFonts w:ascii="Times New Roman" w:hAnsi="Times New Roman"/>
        </w:rPr>
        <w:t xml:space="preserve"> </w:t>
      </w:r>
      <w:r w:rsidR="007A2D5E">
        <w:rPr>
          <w:rFonts w:ascii="Times New Roman" w:hAnsi="Times New Roman"/>
          <w:lang w:val="bg-BG"/>
        </w:rPr>
        <w:t>В средата на м.декември 2017 г. е подписано споразумение между Руската федерация и Египет за възстановяване на редовните полети между двете държави. Очакваният ефект, изразен в увеличение на прелитащите над РПИ София полети, ще се прояви в пълна степен през летния сезон на 2018 г.</w:t>
      </w:r>
    </w:p>
    <w:p w:rsidR="00EC32D3" w:rsidRPr="002A3EAD" w:rsidRDefault="00EC32D3" w:rsidP="00EC32D3">
      <w:pPr>
        <w:pStyle w:val="BlockText"/>
        <w:ind w:left="0" w:right="-18" w:firstLine="0"/>
        <w:rPr>
          <w:rFonts w:ascii="Times New Roman" w:hAnsi="Times New Roman"/>
          <w:lang w:val="bg-BG"/>
        </w:rPr>
      </w:pPr>
    </w:p>
    <w:p w:rsidR="00EC32D3" w:rsidRDefault="00FD765C" w:rsidP="00997814">
      <w:pPr>
        <w:pStyle w:val="BlockText"/>
        <w:numPr>
          <w:ilvl w:val="0"/>
          <w:numId w:val="31"/>
        </w:numPr>
        <w:ind w:right="-18"/>
        <w:rPr>
          <w:rFonts w:ascii="Times New Roman" w:hAnsi="Times New Roman"/>
          <w:lang w:val="bg-BG"/>
        </w:rPr>
      </w:pPr>
      <w:r w:rsidRPr="002A3EAD">
        <w:rPr>
          <w:rFonts w:ascii="Times New Roman" w:hAnsi="Times New Roman"/>
          <w:lang w:val="bg-BG"/>
        </w:rPr>
        <w:t>С</w:t>
      </w:r>
      <w:r w:rsidR="00BF7717" w:rsidRPr="002A3EAD">
        <w:rPr>
          <w:rFonts w:ascii="Times New Roman" w:hAnsi="Times New Roman"/>
          <w:lang w:val="bg-BG"/>
        </w:rPr>
        <w:t>лед интензивни преговори през декември 2015 г. се постигна споразумение между България, Турция, Румъния и Управителя на мрежата за подобряване на интерфейса между България и Турция в района на Черно море, с което се увеличи значително капацитета на въздушното пространство в региона. По този начин се осигурява достатъчно сигурна и безопасна опция за полетите от/за Близкият изток, като ролята на България като надежден партньор в областта на управлението на въздушното движение се засилва.</w:t>
      </w:r>
    </w:p>
    <w:p w:rsidR="00A85A25" w:rsidRPr="00A85A25" w:rsidRDefault="00A85A25" w:rsidP="00A85A25"/>
    <w:p w:rsidR="00A85A25" w:rsidRPr="00997814" w:rsidRDefault="00DB66FB" w:rsidP="00997814">
      <w:pPr>
        <w:pStyle w:val="BlockText"/>
        <w:numPr>
          <w:ilvl w:val="0"/>
          <w:numId w:val="31"/>
        </w:numPr>
        <w:ind w:right="-18"/>
        <w:rPr>
          <w:rFonts w:ascii="Times New Roman" w:hAnsi="Times New Roman"/>
          <w:lang w:val="bg-BG"/>
        </w:rPr>
      </w:pPr>
      <w:r>
        <w:rPr>
          <w:rFonts w:ascii="Times New Roman" w:hAnsi="Times New Roman"/>
          <w:lang w:val="bg-BG"/>
        </w:rPr>
        <w:t>На 05.06.2017 г. пет държави – Саудитска Арабия, ОАЕ, Бахрейн, Египет и Йемен - прекратиха дипломатическите си отношения с Катар. Прекъснати бяха търговските връзки и бе въведен</w:t>
      </w:r>
      <w:r w:rsidR="006909C6">
        <w:rPr>
          <w:rFonts w:ascii="Times New Roman" w:hAnsi="Times New Roman"/>
          <w:lang w:val="bg-BG"/>
        </w:rPr>
        <w:t>а</w:t>
      </w:r>
      <w:r>
        <w:rPr>
          <w:rFonts w:ascii="Times New Roman" w:hAnsi="Times New Roman"/>
          <w:lang w:val="bg-BG"/>
        </w:rPr>
        <w:t xml:space="preserve"> </w:t>
      </w:r>
      <w:r w:rsidR="006909C6">
        <w:rPr>
          <w:rFonts w:ascii="Times New Roman" w:hAnsi="Times New Roman"/>
          <w:lang w:val="bg-BG"/>
        </w:rPr>
        <w:t>забрана</w:t>
      </w:r>
      <w:r>
        <w:rPr>
          <w:rFonts w:ascii="Times New Roman" w:hAnsi="Times New Roman"/>
          <w:lang w:val="bg-BG"/>
        </w:rPr>
        <w:t xml:space="preserve"> за полетите на </w:t>
      </w:r>
      <w:r>
        <w:rPr>
          <w:rFonts w:ascii="Times New Roman" w:hAnsi="Times New Roman"/>
        </w:rPr>
        <w:t>Qatar Airways през въздушните пространства, обслужвани от петте държави.</w:t>
      </w:r>
      <w:r w:rsidR="00BA68D3">
        <w:rPr>
          <w:rFonts w:ascii="Times New Roman" w:hAnsi="Times New Roman"/>
          <w:lang w:val="bg-BG"/>
        </w:rPr>
        <w:t xml:space="preserve"> Въведените ограничения спрямо </w:t>
      </w:r>
      <w:r w:rsidR="00BA68D3">
        <w:rPr>
          <w:rFonts w:ascii="Times New Roman" w:hAnsi="Times New Roman"/>
        </w:rPr>
        <w:t xml:space="preserve">Qatar Airways </w:t>
      </w:r>
      <w:r w:rsidR="00BA68D3">
        <w:rPr>
          <w:rFonts w:ascii="Times New Roman" w:hAnsi="Times New Roman"/>
          <w:lang w:val="bg-BG"/>
        </w:rPr>
        <w:t>на този етап водят д</w:t>
      </w:r>
      <w:r w:rsidR="007F02B8">
        <w:rPr>
          <w:rFonts w:ascii="Times New Roman" w:hAnsi="Times New Roman"/>
          <w:lang w:val="bg-BG"/>
        </w:rPr>
        <w:t xml:space="preserve">о </w:t>
      </w:r>
      <w:r w:rsidR="00D963CF">
        <w:rPr>
          <w:rFonts w:ascii="Times New Roman" w:hAnsi="Times New Roman"/>
          <w:lang w:val="bg-BG"/>
        </w:rPr>
        <w:t xml:space="preserve">принудително </w:t>
      </w:r>
      <w:r w:rsidR="007F02B8">
        <w:rPr>
          <w:rFonts w:ascii="Times New Roman" w:hAnsi="Times New Roman"/>
          <w:lang w:val="bg-BG"/>
        </w:rPr>
        <w:t>изместване на потоците трафик</w:t>
      </w:r>
      <w:r w:rsidR="00D963CF">
        <w:rPr>
          <w:rFonts w:ascii="Times New Roman" w:hAnsi="Times New Roman"/>
          <w:lang w:val="bg-BG"/>
        </w:rPr>
        <w:t>. С</w:t>
      </w:r>
      <w:r w:rsidR="007F02B8">
        <w:rPr>
          <w:rFonts w:ascii="Times New Roman" w:hAnsi="Times New Roman"/>
          <w:lang w:val="bg-BG"/>
        </w:rPr>
        <w:t>итуацията е изключително д</w:t>
      </w:r>
      <w:r w:rsidR="00D963CF">
        <w:rPr>
          <w:rFonts w:ascii="Times New Roman" w:hAnsi="Times New Roman"/>
          <w:lang w:val="bg-BG"/>
        </w:rPr>
        <w:t>инамична и текущо се анализира, като всяко съществено изменение, оказващо влияние върху броя полети, обслужени от ДП РВД, ще бъде отра</w:t>
      </w:r>
      <w:r w:rsidR="00A1569C">
        <w:rPr>
          <w:rFonts w:ascii="Times New Roman" w:hAnsi="Times New Roman"/>
          <w:lang w:val="bg-BG"/>
        </w:rPr>
        <w:t>зявано в месечните анализи</w:t>
      </w:r>
      <w:r w:rsidR="00D963CF">
        <w:rPr>
          <w:rFonts w:ascii="Times New Roman" w:hAnsi="Times New Roman"/>
          <w:lang w:val="bg-BG"/>
        </w:rPr>
        <w:t>.</w:t>
      </w:r>
    </w:p>
    <w:p w:rsidR="00770B59" w:rsidRDefault="00770B59" w:rsidP="00FD765C">
      <w:pPr>
        <w:pStyle w:val="BlockText"/>
        <w:ind w:right="-18"/>
        <w:rPr>
          <w:rFonts w:ascii="Times New Roman" w:hAnsi="Times New Roman"/>
          <w:lang w:val="bg-BG"/>
        </w:rPr>
      </w:pPr>
    </w:p>
    <w:p w:rsidR="00BF7717" w:rsidRPr="002A3EAD" w:rsidRDefault="00BF7717" w:rsidP="00FD765C">
      <w:pPr>
        <w:pStyle w:val="BlockText"/>
        <w:ind w:right="-18"/>
        <w:rPr>
          <w:rFonts w:ascii="Times New Roman" w:hAnsi="Times New Roman"/>
        </w:rPr>
      </w:pPr>
      <w:r w:rsidRPr="002A3EAD">
        <w:rPr>
          <w:rFonts w:ascii="Times New Roman" w:hAnsi="Times New Roman"/>
          <w:lang w:val="bg-BG"/>
        </w:rPr>
        <w:t>Сумарно, негативното влияние на отварянето на въздушното пространство над Косово по отношение на ДП РВД, бе изцяло неутрализирано от положителния за нашата страна ефект от прерутирането на трафика поради проблемите във ВП на РПИ Симферопол, РПИ Днепропетровск. Тези въпроси ще намерят свoето</w:t>
      </w:r>
      <w:r w:rsidRPr="002A3EAD">
        <w:rPr>
          <w:rFonts w:ascii="Times New Roman" w:hAnsi="Times New Roman"/>
        </w:rPr>
        <w:t xml:space="preserve"> </w:t>
      </w:r>
      <w:r w:rsidRPr="002A3EAD">
        <w:rPr>
          <w:rFonts w:ascii="Times New Roman" w:hAnsi="Times New Roman"/>
          <w:lang w:val="bg-BG"/>
        </w:rPr>
        <w:t>решение в зависимост от развитието на политическата ситуац</w:t>
      </w:r>
      <w:r w:rsidR="00FC408E" w:rsidRPr="002A3EAD">
        <w:rPr>
          <w:rFonts w:ascii="Times New Roman" w:hAnsi="Times New Roman"/>
          <w:lang w:val="bg-BG"/>
        </w:rPr>
        <w:t>ия в Украйна</w:t>
      </w:r>
      <w:r w:rsidR="00FC408E" w:rsidRPr="002A3EAD">
        <w:rPr>
          <w:rFonts w:ascii="Times New Roman" w:hAnsi="Times New Roman"/>
        </w:rPr>
        <w:t>.</w:t>
      </w:r>
    </w:p>
    <w:p w:rsidR="000F0661" w:rsidRPr="009C1786" w:rsidRDefault="00BF7717" w:rsidP="009C1786">
      <w:pPr>
        <w:pStyle w:val="BlockText"/>
        <w:ind w:right="-18"/>
        <w:rPr>
          <w:rFonts w:ascii="Times New Roman" w:hAnsi="Times New Roman"/>
          <w:lang w:val="bg-BG"/>
        </w:rPr>
      </w:pPr>
      <w:r w:rsidRPr="002A3EAD">
        <w:rPr>
          <w:rFonts w:ascii="Times New Roman" w:hAnsi="Times New Roman"/>
          <w:lang w:val="bg-BG"/>
        </w:rPr>
        <w:t>Доколкото ситуацията в РПИ Симферопол и РПИ Днепропетровск се запазва</w:t>
      </w:r>
      <w:r w:rsidRPr="002A3EAD">
        <w:rPr>
          <w:rFonts w:ascii="Times New Roman" w:hAnsi="Times New Roman"/>
        </w:rPr>
        <w:t>,</w:t>
      </w:r>
      <w:r w:rsidRPr="002A3EAD">
        <w:rPr>
          <w:rFonts w:ascii="Times New Roman" w:hAnsi="Times New Roman"/>
          <w:lang w:val="bg-BG"/>
        </w:rPr>
        <w:t xml:space="preserve"> съществуват предпоставки за увеличение на обслужвания трафик над заложената прогноза в ПЕ за </w:t>
      </w:r>
      <w:r w:rsidR="00395569">
        <w:rPr>
          <w:rFonts w:ascii="Times New Roman" w:hAnsi="Times New Roman"/>
          <w:lang w:val="bg-BG"/>
        </w:rPr>
        <w:t>РП2</w:t>
      </w:r>
      <w:r w:rsidRPr="002A3EAD">
        <w:rPr>
          <w:rFonts w:ascii="Times New Roman" w:hAnsi="Times New Roman"/>
          <w:lang w:val="bg-BG"/>
        </w:rPr>
        <w:t xml:space="preserve">. </w:t>
      </w:r>
    </w:p>
    <w:p w:rsidR="00EC32D3" w:rsidRPr="00DD53CE" w:rsidRDefault="00C9545E" w:rsidP="000D7930">
      <w:pPr>
        <w:pStyle w:val="BlockText"/>
        <w:numPr>
          <w:ilvl w:val="0"/>
          <w:numId w:val="37"/>
        </w:numPr>
        <w:ind w:left="0" w:right="-24" w:firstLine="709"/>
        <w:rPr>
          <w:rFonts w:ascii="Times New Roman" w:hAnsi="Times New Roman"/>
          <w:lang w:val="ru-RU"/>
        </w:rPr>
      </w:pPr>
      <w:r w:rsidRPr="00DD53CE">
        <w:rPr>
          <w:rFonts w:ascii="Times New Roman" w:hAnsi="Times New Roman"/>
          <w:lang w:val="ru-RU"/>
        </w:rPr>
        <w:t>Ф</w:t>
      </w:r>
      <w:r w:rsidR="00E7737A" w:rsidRPr="00DD53CE">
        <w:rPr>
          <w:rFonts w:ascii="Times New Roman" w:hAnsi="Times New Roman"/>
          <w:lang w:val="ru-RU"/>
        </w:rPr>
        <w:t xml:space="preserve">инансовите </w:t>
      </w:r>
      <w:r w:rsidR="00431993" w:rsidRPr="00DD53CE">
        <w:rPr>
          <w:rFonts w:ascii="Times New Roman" w:hAnsi="Times New Roman"/>
          <w:lang w:val="ru-RU"/>
        </w:rPr>
        <w:t xml:space="preserve">приходи отчитат </w:t>
      </w:r>
      <w:r w:rsidR="00550EA4">
        <w:rPr>
          <w:rFonts w:ascii="Times New Roman" w:hAnsi="Times New Roman"/>
          <w:lang w:val="ru-RU"/>
        </w:rPr>
        <w:t>намаление</w:t>
      </w:r>
      <w:r w:rsidR="00431993" w:rsidRPr="00DD53CE">
        <w:rPr>
          <w:rFonts w:ascii="Times New Roman" w:hAnsi="Times New Roman"/>
          <w:lang w:val="ru-RU"/>
        </w:rPr>
        <w:t xml:space="preserve"> от</w:t>
      </w:r>
      <w:r w:rsidR="0012298C" w:rsidRPr="00DD53CE">
        <w:rPr>
          <w:rFonts w:ascii="Times New Roman" w:hAnsi="Times New Roman"/>
          <w:lang w:val="ru-RU"/>
        </w:rPr>
        <w:t xml:space="preserve"> </w:t>
      </w:r>
      <w:r w:rsidR="00CC3C54">
        <w:rPr>
          <w:rFonts w:ascii="Times New Roman" w:hAnsi="Times New Roman"/>
        </w:rPr>
        <w:t>90</w:t>
      </w:r>
      <w:r w:rsidR="00665EBB" w:rsidRPr="00DD53CE">
        <w:rPr>
          <w:rFonts w:ascii="Times New Roman" w:hAnsi="Times New Roman"/>
          <w:lang w:val="ru-RU"/>
        </w:rPr>
        <w:t xml:space="preserve"> </w:t>
      </w:r>
      <w:r w:rsidR="00D109C0" w:rsidRPr="00DD53CE">
        <w:rPr>
          <w:rFonts w:ascii="Times New Roman" w:hAnsi="Times New Roman"/>
          <w:lang w:val="ru-RU"/>
        </w:rPr>
        <w:t>хил.</w:t>
      </w:r>
      <w:r w:rsidR="00FF2693" w:rsidRPr="00DD53CE">
        <w:rPr>
          <w:rFonts w:ascii="Times New Roman" w:hAnsi="Times New Roman"/>
          <w:lang w:val="ru-RU"/>
        </w:rPr>
        <w:t xml:space="preserve"> </w:t>
      </w:r>
      <w:r w:rsidR="00D109C0" w:rsidRPr="00DD53CE">
        <w:rPr>
          <w:rFonts w:ascii="Times New Roman" w:hAnsi="Times New Roman"/>
          <w:lang w:val="ru-RU"/>
        </w:rPr>
        <w:t>лв.</w:t>
      </w:r>
      <w:r w:rsidR="00505256" w:rsidRPr="00DD53CE">
        <w:rPr>
          <w:rFonts w:ascii="Times New Roman" w:hAnsi="Times New Roman"/>
          <w:lang w:val="ru-RU"/>
        </w:rPr>
        <w:t xml:space="preserve"> спрямо </w:t>
      </w:r>
      <w:r w:rsidR="007151A5">
        <w:rPr>
          <w:rFonts w:ascii="Times New Roman" w:hAnsi="Times New Roman"/>
          <w:lang w:val="ru-RU"/>
        </w:rPr>
        <w:t xml:space="preserve">същия период на </w:t>
      </w:r>
      <w:r w:rsidR="00E7737A" w:rsidRPr="00DD53CE">
        <w:rPr>
          <w:rFonts w:ascii="Times New Roman" w:hAnsi="Times New Roman"/>
          <w:lang w:val="ru-RU"/>
        </w:rPr>
        <w:t>миналата година</w:t>
      </w:r>
      <w:r w:rsidR="002E2105" w:rsidRPr="00DD53CE">
        <w:rPr>
          <w:rFonts w:ascii="Times New Roman" w:hAnsi="Times New Roman"/>
          <w:lang w:val="ru-RU"/>
        </w:rPr>
        <w:t>.</w:t>
      </w:r>
      <w:r w:rsidR="005E05DA" w:rsidRPr="00DD53CE">
        <w:rPr>
          <w:rFonts w:ascii="Times New Roman" w:hAnsi="Times New Roman"/>
          <w:lang w:val="ru-RU"/>
        </w:rPr>
        <w:t xml:space="preserve"> </w:t>
      </w:r>
    </w:p>
    <w:p w:rsidR="00EC32D3" w:rsidRPr="00500203" w:rsidRDefault="00D11209" w:rsidP="000D7930">
      <w:pPr>
        <w:pStyle w:val="BlockText"/>
        <w:numPr>
          <w:ilvl w:val="0"/>
          <w:numId w:val="37"/>
        </w:numPr>
        <w:ind w:left="0" w:right="-24" w:firstLine="709"/>
        <w:rPr>
          <w:rFonts w:ascii="Times New Roman" w:hAnsi="Times New Roman"/>
          <w:lang w:val="ru-RU"/>
        </w:rPr>
      </w:pPr>
      <w:r w:rsidRPr="00500203">
        <w:rPr>
          <w:rFonts w:ascii="Times New Roman" w:hAnsi="Times New Roman"/>
          <w:lang w:val="ru-RU"/>
        </w:rPr>
        <w:t xml:space="preserve">Текущата ликвидност </w:t>
      </w:r>
      <w:r w:rsidR="00500203">
        <w:rPr>
          <w:rFonts w:ascii="Times New Roman" w:hAnsi="Times New Roman"/>
          <w:lang w:val="bg-BG"/>
        </w:rPr>
        <w:t>се увеличава</w:t>
      </w:r>
      <w:r w:rsidR="00273518" w:rsidRPr="00500203">
        <w:rPr>
          <w:rFonts w:ascii="Times New Roman" w:hAnsi="Times New Roman"/>
          <w:lang w:val="ru-RU"/>
        </w:rPr>
        <w:t xml:space="preserve"> </w:t>
      </w:r>
      <w:r w:rsidR="007151A5" w:rsidRPr="00500203">
        <w:rPr>
          <w:rFonts w:ascii="Times New Roman" w:hAnsi="Times New Roman"/>
          <w:lang w:val="ru-RU"/>
        </w:rPr>
        <w:t>в сравнение с 31.12.201</w:t>
      </w:r>
      <w:r w:rsidR="00550EA4">
        <w:rPr>
          <w:rFonts w:ascii="Times New Roman" w:hAnsi="Times New Roman"/>
          <w:lang w:val="ru-RU"/>
        </w:rPr>
        <w:t>7</w:t>
      </w:r>
      <w:r w:rsidR="0023766E" w:rsidRPr="00500203">
        <w:rPr>
          <w:rFonts w:ascii="Times New Roman" w:hAnsi="Times New Roman"/>
          <w:lang w:val="ru-RU"/>
        </w:rPr>
        <w:t xml:space="preserve"> г. </w:t>
      </w:r>
      <w:r w:rsidR="00500203">
        <w:rPr>
          <w:rFonts w:ascii="Times New Roman" w:hAnsi="Times New Roman"/>
          <w:lang w:val="ru-RU"/>
        </w:rPr>
        <w:t xml:space="preserve">от </w:t>
      </w:r>
      <w:r w:rsidR="00AD0AB1">
        <w:rPr>
          <w:rFonts w:ascii="Times New Roman" w:hAnsi="Times New Roman"/>
        </w:rPr>
        <w:t>2</w:t>
      </w:r>
      <w:r w:rsidR="00550EA4">
        <w:rPr>
          <w:rFonts w:ascii="Times New Roman" w:hAnsi="Times New Roman"/>
          <w:lang w:val="ru-RU"/>
        </w:rPr>
        <w:t>.</w:t>
      </w:r>
      <w:r w:rsidR="00AD0AB1">
        <w:rPr>
          <w:rFonts w:ascii="Times New Roman" w:hAnsi="Times New Roman"/>
        </w:rPr>
        <w:t>7</w:t>
      </w:r>
      <w:r w:rsidR="00500203">
        <w:rPr>
          <w:rFonts w:ascii="Times New Roman" w:hAnsi="Times New Roman"/>
          <w:lang w:val="ru-RU"/>
        </w:rPr>
        <w:t xml:space="preserve"> до</w:t>
      </w:r>
      <w:r w:rsidR="00E3117F" w:rsidRPr="00500203">
        <w:rPr>
          <w:rFonts w:ascii="Times New Roman" w:hAnsi="Times New Roman"/>
          <w:lang w:val="ru-RU"/>
        </w:rPr>
        <w:t xml:space="preserve"> </w:t>
      </w:r>
      <w:r w:rsidR="007151A5" w:rsidRPr="00500203">
        <w:rPr>
          <w:rFonts w:ascii="Times New Roman" w:hAnsi="Times New Roman"/>
          <w:lang w:val="bg-BG"/>
        </w:rPr>
        <w:t xml:space="preserve">ниво </w:t>
      </w:r>
      <w:r w:rsidR="00856A01">
        <w:rPr>
          <w:rFonts w:ascii="Times New Roman" w:hAnsi="Times New Roman"/>
          <w:lang w:val="bg-BG"/>
        </w:rPr>
        <w:t xml:space="preserve">от </w:t>
      </w:r>
      <w:r w:rsidR="00CC3C54">
        <w:rPr>
          <w:rFonts w:ascii="Times New Roman" w:hAnsi="Times New Roman"/>
        </w:rPr>
        <w:t>4.5</w:t>
      </w:r>
      <w:r w:rsidR="00273518" w:rsidRPr="00500203">
        <w:rPr>
          <w:rFonts w:ascii="Times New Roman" w:hAnsi="Times New Roman"/>
          <w:lang w:val="ru-RU"/>
        </w:rPr>
        <w:t>.</w:t>
      </w:r>
    </w:p>
    <w:p w:rsidR="007151A5" w:rsidRDefault="00EE3A6A" w:rsidP="009B0BA7">
      <w:pPr>
        <w:pStyle w:val="BlockText"/>
        <w:numPr>
          <w:ilvl w:val="0"/>
          <w:numId w:val="37"/>
        </w:numPr>
        <w:ind w:left="0" w:right="-24" w:firstLine="709"/>
        <w:rPr>
          <w:rFonts w:ascii="Times New Roman" w:hAnsi="Times New Roman"/>
          <w:lang w:val="ru-RU"/>
        </w:rPr>
      </w:pPr>
      <w:r w:rsidRPr="002A3EAD">
        <w:rPr>
          <w:rFonts w:ascii="Times New Roman" w:hAnsi="Times New Roman"/>
          <w:lang w:val="ru-RU"/>
        </w:rPr>
        <w:t>Средносписъчният брой н</w:t>
      </w:r>
      <w:r w:rsidR="00D24B0C" w:rsidRPr="002A3EAD">
        <w:rPr>
          <w:rFonts w:ascii="Times New Roman" w:hAnsi="Times New Roman"/>
          <w:lang w:val="ru-RU"/>
        </w:rPr>
        <w:t>а служите</w:t>
      </w:r>
      <w:r w:rsidR="00F730E1" w:rsidRPr="002A3EAD">
        <w:rPr>
          <w:rFonts w:ascii="Times New Roman" w:hAnsi="Times New Roman"/>
          <w:lang w:val="ru-RU"/>
        </w:rPr>
        <w:t>лите за</w:t>
      </w:r>
      <w:r w:rsidR="00F730E1" w:rsidRPr="00560797">
        <w:rPr>
          <w:rFonts w:ascii="Times New Roman" w:hAnsi="Times New Roman"/>
          <w:lang w:val="ru-RU"/>
        </w:rPr>
        <w:t xml:space="preserve"> </w:t>
      </w:r>
      <w:r w:rsidR="00174F3B" w:rsidRPr="002A3EAD">
        <w:rPr>
          <w:rFonts w:ascii="Times New Roman" w:hAnsi="Times New Roman"/>
          <w:lang w:val="ru-RU"/>
        </w:rPr>
        <w:t>пери</w:t>
      </w:r>
      <w:r w:rsidR="00986DF3" w:rsidRPr="002A3EAD">
        <w:rPr>
          <w:rFonts w:ascii="Times New Roman" w:hAnsi="Times New Roman"/>
          <w:lang w:val="ru-RU"/>
        </w:rPr>
        <w:t xml:space="preserve">ода </w:t>
      </w:r>
      <w:r w:rsidR="009B69BB" w:rsidRPr="002A3EAD">
        <w:rPr>
          <w:rFonts w:ascii="Times New Roman" w:hAnsi="Times New Roman"/>
          <w:lang w:val="ru-RU"/>
        </w:rPr>
        <w:t xml:space="preserve">отчита </w:t>
      </w:r>
      <w:r w:rsidR="00294546">
        <w:rPr>
          <w:rFonts w:ascii="Times New Roman" w:hAnsi="Times New Roman"/>
          <w:lang w:val="bg-BG"/>
        </w:rPr>
        <w:t>увеличение</w:t>
      </w:r>
      <w:r w:rsidR="00326923" w:rsidRPr="002A3EAD">
        <w:rPr>
          <w:rFonts w:ascii="Times New Roman" w:hAnsi="Times New Roman"/>
          <w:lang w:val="ru-RU"/>
        </w:rPr>
        <w:t xml:space="preserve"> </w:t>
      </w:r>
      <w:r w:rsidRPr="002A3EAD">
        <w:rPr>
          <w:rFonts w:ascii="Times New Roman" w:hAnsi="Times New Roman"/>
          <w:lang w:val="ru-RU"/>
        </w:rPr>
        <w:t>в сравнение с</w:t>
      </w:r>
      <w:r w:rsidR="006E26DE">
        <w:rPr>
          <w:rFonts w:ascii="Times New Roman" w:hAnsi="Times New Roman"/>
          <w:lang w:val="ru-RU"/>
        </w:rPr>
        <w:t xml:space="preserve"> аналогичния период</w:t>
      </w:r>
      <w:r w:rsidR="008F40C6">
        <w:rPr>
          <w:rFonts w:ascii="Times New Roman" w:hAnsi="Times New Roman"/>
          <w:lang w:val="ru-RU"/>
        </w:rPr>
        <w:t xml:space="preserve"> на предходната</w:t>
      </w:r>
      <w:r w:rsidRPr="002A3EAD">
        <w:rPr>
          <w:rFonts w:ascii="Times New Roman" w:hAnsi="Times New Roman"/>
          <w:lang w:val="ru-RU"/>
        </w:rPr>
        <w:t xml:space="preserve"> година</w:t>
      </w:r>
      <w:r w:rsidR="001E2249" w:rsidRPr="002A3EAD">
        <w:rPr>
          <w:rFonts w:ascii="Times New Roman" w:hAnsi="Times New Roman"/>
          <w:lang w:val="ru-RU"/>
        </w:rPr>
        <w:t xml:space="preserve"> с </w:t>
      </w:r>
      <w:r w:rsidR="007822EE">
        <w:rPr>
          <w:rFonts w:ascii="Times New Roman" w:hAnsi="Times New Roman"/>
        </w:rPr>
        <w:t>4</w:t>
      </w:r>
      <w:r w:rsidR="004A784A">
        <w:rPr>
          <w:rFonts w:ascii="Times New Roman" w:hAnsi="Times New Roman"/>
        </w:rPr>
        <w:t>.</w:t>
      </w:r>
      <w:r w:rsidR="007822EE">
        <w:rPr>
          <w:rFonts w:ascii="Times New Roman" w:hAnsi="Times New Roman"/>
        </w:rPr>
        <w:t>1</w:t>
      </w:r>
      <w:r w:rsidR="0081079C" w:rsidRPr="002A3EAD">
        <w:rPr>
          <w:rFonts w:ascii="Times New Roman" w:hAnsi="Times New Roman"/>
          <w:lang w:val="ru-RU"/>
        </w:rPr>
        <w:t>%</w:t>
      </w:r>
      <w:r w:rsidR="00550EA4">
        <w:rPr>
          <w:rFonts w:ascii="Times New Roman" w:hAnsi="Times New Roman"/>
          <w:lang w:val="ru-RU"/>
        </w:rPr>
        <w:t xml:space="preserve"> основно вследствие на </w:t>
      </w:r>
      <w:r w:rsidR="00D82ABE">
        <w:rPr>
          <w:rFonts w:ascii="Times New Roman" w:hAnsi="Times New Roman"/>
          <w:lang w:val="ru-RU"/>
        </w:rPr>
        <w:t>новоназначен оперативен персонал</w:t>
      </w:r>
      <w:r w:rsidR="009B0BA7">
        <w:rPr>
          <w:rFonts w:ascii="Times New Roman" w:hAnsi="Times New Roman"/>
          <w:lang w:val="ru-RU"/>
        </w:rPr>
        <w:t>.</w:t>
      </w:r>
      <w:r w:rsidR="00950921">
        <w:rPr>
          <w:rFonts w:ascii="Times New Roman" w:hAnsi="Times New Roman"/>
          <w:lang w:val="ru-RU"/>
        </w:rPr>
        <w:t xml:space="preserve"> </w:t>
      </w:r>
    </w:p>
    <w:p w:rsidR="005F4BD8" w:rsidRPr="009B0BA7" w:rsidRDefault="005F4BD8" w:rsidP="005F4BD8">
      <w:pPr>
        <w:pStyle w:val="BlockText"/>
        <w:ind w:left="709" w:right="-24" w:firstLine="0"/>
        <w:rPr>
          <w:rFonts w:ascii="Times New Roman" w:hAnsi="Times New Roman"/>
          <w:lang w:val="ru-RU"/>
        </w:rPr>
      </w:pP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62"/>
        <w:gridCol w:w="1483"/>
        <w:gridCol w:w="1379"/>
        <w:gridCol w:w="940"/>
        <w:gridCol w:w="2277"/>
        <w:gridCol w:w="1559"/>
      </w:tblGrid>
      <w:tr w:rsidR="00D41DD1" w:rsidRPr="002A3EAD" w:rsidTr="00154F92">
        <w:trPr>
          <w:trHeight w:val="255"/>
        </w:trPr>
        <w:tc>
          <w:tcPr>
            <w:tcW w:w="5000" w:type="pct"/>
            <w:gridSpan w:val="6"/>
            <w:tcBorders>
              <w:top w:val="single" w:sz="4" w:space="0" w:color="auto"/>
              <w:left w:val="single" w:sz="4" w:space="0" w:color="auto"/>
              <w:bottom w:val="nil"/>
              <w:right w:val="single" w:sz="4" w:space="0" w:color="auto"/>
            </w:tcBorders>
            <w:shd w:val="clear" w:color="auto" w:fill="C0C0C0"/>
            <w:vAlign w:val="bottom"/>
          </w:tcPr>
          <w:p w:rsidR="00D41DD1" w:rsidRPr="002A3EAD" w:rsidRDefault="00D41DD1" w:rsidP="00B233CC">
            <w:pPr>
              <w:jc w:val="center"/>
              <w:rPr>
                <w:b/>
                <w:lang w:val="en-US"/>
              </w:rPr>
            </w:pPr>
            <w:r w:rsidRPr="002A3EAD">
              <w:rPr>
                <w:b/>
              </w:rPr>
              <w:t>ОТЧЕТ ЗА ДОХОДИТЕ</w:t>
            </w:r>
          </w:p>
        </w:tc>
      </w:tr>
      <w:tr w:rsidR="005B3108" w:rsidRPr="002A3EAD" w:rsidTr="006E0477">
        <w:trPr>
          <w:trHeight w:val="270"/>
        </w:trPr>
        <w:tc>
          <w:tcPr>
            <w:tcW w:w="1256" w:type="pct"/>
            <w:tcBorders>
              <w:top w:val="nil"/>
              <w:left w:val="single" w:sz="4" w:space="0" w:color="auto"/>
              <w:bottom w:val="single" w:sz="4" w:space="0" w:color="auto"/>
              <w:right w:val="nil"/>
            </w:tcBorders>
            <w:vAlign w:val="bottom"/>
          </w:tcPr>
          <w:p w:rsidR="005B3108" w:rsidRPr="002A3EAD" w:rsidRDefault="005B3108" w:rsidP="0049372C">
            <w:pPr>
              <w:jc w:val="both"/>
            </w:pPr>
            <w:r w:rsidRPr="002A3EAD">
              <w:t> </w:t>
            </w:r>
          </w:p>
        </w:tc>
        <w:tc>
          <w:tcPr>
            <w:tcW w:w="727" w:type="pct"/>
            <w:tcBorders>
              <w:top w:val="nil"/>
              <w:left w:val="nil"/>
              <w:bottom w:val="single" w:sz="4" w:space="0" w:color="auto"/>
              <w:right w:val="nil"/>
            </w:tcBorders>
            <w:vAlign w:val="bottom"/>
          </w:tcPr>
          <w:p w:rsidR="005B3108" w:rsidRPr="002A3EAD" w:rsidRDefault="005B3108" w:rsidP="00B233CC">
            <w:pPr>
              <w:jc w:val="center"/>
            </w:pPr>
            <w:r w:rsidRPr="002A3EAD">
              <w:t>1</w:t>
            </w:r>
          </w:p>
        </w:tc>
        <w:tc>
          <w:tcPr>
            <w:tcW w:w="676" w:type="pct"/>
            <w:tcBorders>
              <w:top w:val="nil"/>
              <w:left w:val="nil"/>
              <w:bottom w:val="single" w:sz="4" w:space="0" w:color="auto"/>
              <w:right w:val="nil"/>
            </w:tcBorders>
            <w:vAlign w:val="bottom"/>
          </w:tcPr>
          <w:p w:rsidR="005B3108" w:rsidRPr="002A3EAD" w:rsidRDefault="005B3108" w:rsidP="00B233CC">
            <w:pPr>
              <w:jc w:val="center"/>
            </w:pPr>
            <w:r w:rsidRPr="002A3EAD">
              <w:t>2</w:t>
            </w:r>
          </w:p>
        </w:tc>
        <w:tc>
          <w:tcPr>
            <w:tcW w:w="461" w:type="pct"/>
            <w:tcBorders>
              <w:top w:val="nil"/>
              <w:left w:val="nil"/>
              <w:bottom w:val="single" w:sz="4" w:space="0" w:color="auto"/>
              <w:right w:val="nil"/>
            </w:tcBorders>
            <w:vAlign w:val="bottom"/>
          </w:tcPr>
          <w:p w:rsidR="005B3108" w:rsidRPr="002A3EAD" w:rsidRDefault="005B3108" w:rsidP="00B233CC">
            <w:pPr>
              <w:jc w:val="both"/>
            </w:pPr>
            <w:r w:rsidRPr="002A3EAD">
              <w:t> </w:t>
            </w:r>
          </w:p>
        </w:tc>
        <w:tc>
          <w:tcPr>
            <w:tcW w:w="1116" w:type="pct"/>
            <w:tcBorders>
              <w:top w:val="nil"/>
              <w:left w:val="nil"/>
              <w:bottom w:val="single" w:sz="4" w:space="0" w:color="auto"/>
              <w:right w:val="nil"/>
            </w:tcBorders>
            <w:vAlign w:val="bottom"/>
          </w:tcPr>
          <w:p w:rsidR="005B3108" w:rsidRPr="002A3EAD" w:rsidRDefault="005B3108" w:rsidP="00B233CC">
            <w:pPr>
              <w:jc w:val="center"/>
            </w:pPr>
            <w:r w:rsidRPr="002A3EAD">
              <w:t>3</w:t>
            </w:r>
          </w:p>
        </w:tc>
        <w:tc>
          <w:tcPr>
            <w:tcW w:w="764" w:type="pct"/>
            <w:tcBorders>
              <w:top w:val="nil"/>
              <w:left w:val="nil"/>
              <w:bottom w:val="single" w:sz="4" w:space="0" w:color="auto"/>
              <w:right w:val="single" w:sz="4" w:space="0" w:color="auto"/>
            </w:tcBorders>
            <w:vAlign w:val="bottom"/>
          </w:tcPr>
          <w:p w:rsidR="005B3108" w:rsidRPr="002A3EAD" w:rsidRDefault="005B3108" w:rsidP="00B233CC">
            <w:pPr>
              <w:jc w:val="both"/>
            </w:pPr>
            <w:r w:rsidRPr="002A3EAD">
              <w:t> </w:t>
            </w:r>
          </w:p>
        </w:tc>
      </w:tr>
      <w:tr w:rsidR="005B3108" w:rsidRPr="002A3EAD" w:rsidTr="00791B98">
        <w:trPr>
          <w:trHeight w:val="663"/>
        </w:trPr>
        <w:tc>
          <w:tcPr>
            <w:tcW w:w="1256" w:type="pct"/>
            <w:tcBorders>
              <w:top w:val="single" w:sz="4" w:space="0" w:color="auto"/>
              <w:left w:val="single" w:sz="4" w:space="0" w:color="auto"/>
              <w:bottom w:val="single" w:sz="4" w:space="0" w:color="auto"/>
            </w:tcBorders>
            <w:vAlign w:val="center"/>
          </w:tcPr>
          <w:p w:rsidR="005B3108" w:rsidRPr="002A3EAD" w:rsidRDefault="005B3108" w:rsidP="0049372C">
            <w:pPr>
              <w:jc w:val="center"/>
              <w:rPr>
                <w:b/>
              </w:rPr>
            </w:pPr>
            <w:r w:rsidRPr="002A3EAD">
              <w:rPr>
                <w:b/>
              </w:rPr>
              <w:t>в хил. лева</w:t>
            </w:r>
          </w:p>
        </w:tc>
        <w:tc>
          <w:tcPr>
            <w:tcW w:w="727" w:type="pct"/>
            <w:tcBorders>
              <w:top w:val="single" w:sz="4" w:space="0" w:color="auto"/>
              <w:bottom w:val="single" w:sz="4" w:space="0" w:color="auto"/>
            </w:tcBorders>
            <w:vAlign w:val="center"/>
          </w:tcPr>
          <w:p w:rsidR="005B3108" w:rsidRPr="002A3EAD" w:rsidRDefault="005B3108" w:rsidP="00B233CC">
            <w:pPr>
              <w:jc w:val="center"/>
              <w:rPr>
                <w:b/>
              </w:rPr>
            </w:pPr>
            <w:r w:rsidRPr="002A3EAD">
              <w:rPr>
                <w:b/>
              </w:rPr>
              <w:t>отчетен период</w:t>
            </w:r>
          </w:p>
        </w:tc>
        <w:tc>
          <w:tcPr>
            <w:tcW w:w="676" w:type="pct"/>
            <w:tcBorders>
              <w:top w:val="single" w:sz="4" w:space="0" w:color="auto"/>
              <w:bottom w:val="single" w:sz="4" w:space="0" w:color="auto"/>
            </w:tcBorders>
            <w:vAlign w:val="center"/>
          </w:tcPr>
          <w:p w:rsidR="00E61E49" w:rsidRPr="002A3EAD" w:rsidRDefault="008A5B86" w:rsidP="008A5B86">
            <w:pPr>
              <w:jc w:val="center"/>
              <w:rPr>
                <w:b/>
              </w:rPr>
            </w:pPr>
            <w:r w:rsidRPr="002A3EAD">
              <w:rPr>
                <w:b/>
              </w:rPr>
              <w:t>ГФП</w:t>
            </w:r>
            <w:r w:rsidR="000D2F09" w:rsidRPr="002A3EAD">
              <w:rPr>
                <w:b/>
              </w:rPr>
              <w:t xml:space="preserve"> </w:t>
            </w:r>
            <w:r w:rsidR="00770B59" w:rsidRPr="002A3EAD">
              <w:rPr>
                <w:b/>
              </w:rPr>
              <w:t>201</w:t>
            </w:r>
            <w:r w:rsidR="00AD019E">
              <w:rPr>
                <w:b/>
                <w:lang w:val="en-US"/>
              </w:rPr>
              <w:t>8</w:t>
            </w:r>
            <w:r w:rsidR="00770B59" w:rsidRPr="002A3EAD">
              <w:rPr>
                <w:b/>
              </w:rPr>
              <w:t>г</w:t>
            </w:r>
            <w:r w:rsidR="00E61E49" w:rsidRPr="002A3EAD">
              <w:rPr>
                <w:b/>
              </w:rPr>
              <w:t>.</w:t>
            </w:r>
          </w:p>
          <w:p w:rsidR="005B3108" w:rsidRPr="002A3EAD" w:rsidRDefault="005B3108" w:rsidP="00B233CC">
            <w:pPr>
              <w:jc w:val="center"/>
              <w:rPr>
                <w:b/>
              </w:rPr>
            </w:pPr>
          </w:p>
        </w:tc>
        <w:tc>
          <w:tcPr>
            <w:tcW w:w="461" w:type="pct"/>
            <w:tcBorders>
              <w:top w:val="single" w:sz="4" w:space="0" w:color="auto"/>
              <w:bottom w:val="single" w:sz="4" w:space="0" w:color="auto"/>
            </w:tcBorders>
            <w:vAlign w:val="center"/>
          </w:tcPr>
          <w:p w:rsidR="005B3108" w:rsidRPr="002A3EAD" w:rsidRDefault="005B3108" w:rsidP="00B233CC">
            <w:pPr>
              <w:jc w:val="center"/>
              <w:rPr>
                <w:b/>
              </w:rPr>
            </w:pPr>
            <w:r w:rsidRPr="002A3EAD">
              <w:rPr>
                <w:b/>
              </w:rPr>
              <w:t>1/2</w:t>
            </w:r>
          </w:p>
          <w:p w:rsidR="005B3108" w:rsidRPr="002A3EAD" w:rsidRDefault="005B3108" w:rsidP="00B233CC">
            <w:pPr>
              <w:jc w:val="center"/>
              <w:rPr>
                <w:b/>
              </w:rPr>
            </w:pPr>
            <w:r w:rsidRPr="002A3EAD">
              <w:rPr>
                <w:b/>
              </w:rPr>
              <w:t>(%)</w:t>
            </w:r>
          </w:p>
        </w:tc>
        <w:tc>
          <w:tcPr>
            <w:tcW w:w="1116" w:type="pct"/>
            <w:tcBorders>
              <w:top w:val="single" w:sz="4" w:space="0" w:color="auto"/>
              <w:bottom w:val="single" w:sz="4" w:space="0" w:color="auto"/>
            </w:tcBorders>
            <w:vAlign w:val="center"/>
          </w:tcPr>
          <w:p w:rsidR="005B3108" w:rsidRPr="002A3EAD" w:rsidRDefault="00B714A8" w:rsidP="00B233CC">
            <w:pPr>
              <w:jc w:val="center"/>
              <w:rPr>
                <w:b/>
              </w:rPr>
            </w:pPr>
            <w:r w:rsidRPr="002A3EAD">
              <w:rPr>
                <w:b/>
              </w:rPr>
              <w:t>С</w:t>
            </w:r>
            <w:r w:rsidR="005B3108" w:rsidRPr="002A3EAD">
              <w:rPr>
                <w:b/>
              </w:rPr>
              <w:t>ъответен период на предходна година</w:t>
            </w:r>
          </w:p>
        </w:tc>
        <w:tc>
          <w:tcPr>
            <w:tcW w:w="764" w:type="pct"/>
            <w:tcBorders>
              <w:top w:val="single" w:sz="4" w:space="0" w:color="auto"/>
              <w:bottom w:val="single" w:sz="4" w:space="0" w:color="auto"/>
              <w:right w:val="single" w:sz="4" w:space="0" w:color="auto"/>
            </w:tcBorders>
            <w:vAlign w:val="center"/>
          </w:tcPr>
          <w:p w:rsidR="005B3108" w:rsidRPr="002A3EAD" w:rsidRDefault="005B3108" w:rsidP="00B233CC">
            <w:pPr>
              <w:jc w:val="center"/>
              <w:rPr>
                <w:b/>
              </w:rPr>
            </w:pPr>
            <w:r w:rsidRPr="002A3EAD">
              <w:rPr>
                <w:b/>
              </w:rPr>
              <w:t>1/3</w:t>
            </w:r>
          </w:p>
          <w:p w:rsidR="005B3108" w:rsidRPr="002A3EAD" w:rsidRDefault="005B3108" w:rsidP="00B233CC">
            <w:pPr>
              <w:jc w:val="center"/>
              <w:rPr>
                <w:b/>
              </w:rPr>
            </w:pPr>
            <w:r w:rsidRPr="002A3EAD">
              <w:rPr>
                <w:b/>
              </w:rPr>
              <w:t>(%)</w:t>
            </w:r>
          </w:p>
        </w:tc>
      </w:tr>
      <w:tr w:rsidR="005404EF" w:rsidRPr="002A3EAD" w:rsidTr="007822EE">
        <w:trPr>
          <w:trHeight w:val="437"/>
        </w:trPr>
        <w:tc>
          <w:tcPr>
            <w:tcW w:w="1256" w:type="pct"/>
            <w:tcBorders>
              <w:top w:val="single" w:sz="4" w:space="0" w:color="auto"/>
              <w:left w:val="single" w:sz="4" w:space="0" w:color="auto"/>
              <w:bottom w:val="single" w:sz="4" w:space="0" w:color="auto"/>
              <w:right w:val="single" w:sz="4" w:space="0" w:color="auto"/>
            </w:tcBorders>
            <w:vAlign w:val="bottom"/>
          </w:tcPr>
          <w:p w:rsidR="005404EF" w:rsidRPr="002A3EAD" w:rsidRDefault="005404EF" w:rsidP="005404EF">
            <w:pPr>
              <w:rPr>
                <w:b/>
                <w:bCs/>
              </w:rPr>
            </w:pPr>
            <w:r w:rsidRPr="002A3EAD">
              <w:rPr>
                <w:b/>
                <w:bCs/>
              </w:rPr>
              <w:t>Нетни приходи от продажби</w:t>
            </w:r>
          </w:p>
        </w:tc>
        <w:tc>
          <w:tcPr>
            <w:tcW w:w="727" w:type="pct"/>
            <w:tcBorders>
              <w:top w:val="single" w:sz="4" w:space="0" w:color="auto"/>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rPr>
                <w:lang w:eastAsia="bg-BG"/>
              </w:rPr>
            </w:pPr>
            <w:r w:rsidRPr="005404EF">
              <w:t>166,556</w:t>
            </w:r>
          </w:p>
        </w:tc>
        <w:tc>
          <w:tcPr>
            <w:tcW w:w="676" w:type="pct"/>
            <w:tcBorders>
              <w:top w:val="single" w:sz="4" w:space="0" w:color="auto"/>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166,155</w:t>
            </w:r>
          </w:p>
        </w:tc>
        <w:tc>
          <w:tcPr>
            <w:tcW w:w="461" w:type="pct"/>
            <w:tcBorders>
              <w:top w:val="single" w:sz="4" w:space="0" w:color="auto"/>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0.2%</w:t>
            </w:r>
          </w:p>
        </w:tc>
        <w:tc>
          <w:tcPr>
            <w:tcW w:w="1116" w:type="pct"/>
            <w:tcBorders>
              <w:top w:val="single" w:sz="4" w:space="0" w:color="auto"/>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151,054</w:t>
            </w:r>
          </w:p>
        </w:tc>
        <w:tc>
          <w:tcPr>
            <w:tcW w:w="764" w:type="pct"/>
            <w:tcBorders>
              <w:top w:val="single" w:sz="4" w:space="0" w:color="auto"/>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10.3%</w:t>
            </w:r>
          </w:p>
        </w:tc>
      </w:tr>
      <w:tr w:rsidR="005404EF" w:rsidRPr="002A3EAD" w:rsidTr="007822EE">
        <w:trPr>
          <w:trHeight w:val="315"/>
        </w:trPr>
        <w:tc>
          <w:tcPr>
            <w:tcW w:w="1256" w:type="pct"/>
            <w:tcBorders>
              <w:top w:val="single" w:sz="4" w:space="0" w:color="auto"/>
              <w:left w:val="single" w:sz="4" w:space="0" w:color="auto"/>
              <w:bottom w:val="single" w:sz="4" w:space="0" w:color="auto"/>
              <w:right w:val="single" w:sz="4" w:space="0" w:color="auto"/>
            </w:tcBorders>
            <w:vAlign w:val="bottom"/>
          </w:tcPr>
          <w:p w:rsidR="005404EF" w:rsidRPr="002A3EAD" w:rsidRDefault="005404EF" w:rsidP="005404EF">
            <w:r w:rsidRPr="002A3EAD">
              <w:t>Разходи за материали и външни услуги</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pPr>
            <w:r w:rsidRPr="005404EF">
              <w:t>20,638</w:t>
            </w: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29,494</w:t>
            </w: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-30.0%</w:t>
            </w: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19,300</w:t>
            </w: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6.9%</w:t>
            </w:r>
          </w:p>
        </w:tc>
      </w:tr>
      <w:tr w:rsidR="005404EF" w:rsidRPr="002A3EAD" w:rsidTr="007822EE">
        <w:trPr>
          <w:trHeight w:val="315"/>
        </w:trPr>
        <w:tc>
          <w:tcPr>
            <w:tcW w:w="1256" w:type="pct"/>
            <w:tcBorders>
              <w:top w:val="single" w:sz="4" w:space="0" w:color="auto"/>
              <w:left w:val="single" w:sz="4" w:space="0" w:color="auto"/>
              <w:bottom w:val="single" w:sz="4" w:space="0" w:color="auto"/>
              <w:right w:val="single" w:sz="4" w:space="0" w:color="auto"/>
            </w:tcBorders>
            <w:vAlign w:val="bottom"/>
          </w:tcPr>
          <w:p w:rsidR="005404EF" w:rsidRPr="002A3EAD" w:rsidRDefault="005404EF" w:rsidP="005404EF">
            <w:r w:rsidRPr="002A3EAD">
              <w:t>Разходи за възнаграждения и соц.</w:t>
            </w:r>
            <w:r>
              <w:rPr>
                <w:lang w:val="en-US"/>
              </w:rPr>
              <w:t xml:space="preserve"> </w:t>
            </w:r>
            <w:r w:rsidRPr="002A3EAD">
              <w:t>осигуровки</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pPr>
            <w:r w:rsidRPr="005404EF">
              <w:t>109,045</w:t>
            </w: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111,352</w:t>
            </w: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-2.1%</w:t>
            </w: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101,476</w:t>
            </w: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7.5%</w:t>
            </w:r>
          </w:p>
        </w:tc>
      </w:tr>
      <w:tr w:rsidR="005404EF" w:rsidRPr="002A3EAD" w:rsidTr="007822EE">
        <w:trPr>
          <w:trHeight w:val="278"/>
        </w:trPr>
        <w:tc>
          <w:tcPr>
            <w:tcW w:w="1256" w:type="pct"/>
            <w:tcBorders>
              <w:top w:val="single" w:sz="4" w:space="0" w:color="auto"/>
              <w:left w:val="single" w:sz="4" w:space="0" w:color="auto"/>
              <w:bottom w:val="single" w:sz="4" w:space="0" w:color="auto"/>
              <w:right w:val="single" w:sz="4" w:space="0" w:color="auto"/>
            </w:tcBorders>
            <w:vAlign w:val="bottom"/>
          </w:tcPr>
          <w:p w:rsidR="005404EF" w:rsidRPr="002A3EAD" w:rsidRDefault="005404EF" w:rsidP="005404EF">
            <w:r w:rsidRPr="002A3EAD">
              <w:t>Други разходи</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pPr>
            <w:r w:rsidRPr="005404EF">
              <w:t>-17,267</w:t>
            </w: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-19,428</w:t>
            </w: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-17,173</w:t>
            </w: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p>
        </w:tc>
      </w:tr>
      <w:tr w:rsidR="005404EF" w:rsidRPr="002A3EAD" w:rsidTr="007822EE">
        <w:trPr>
          <w:trHeight w:val="315"/>
        </w:trPr>
        <w:tc>
          <w:tcPr>
            <w:tcW w:w="1256" w:type="pct"/>
            <w:tcBorders>
              <w:top w:val="single" w:sz="4" w:space="0" w:color="auto"/>
              <w:left w:val="single" w:sz="4" w:space="0" w:color="auto"/>
              <w:bottom w:val="single" w:sz="4" w:space="0" w:color="auto"/>
              <w:right w:val="single" w:sz="4" w:space="0" w:color="auto"/>
            </w:tcBorders>
            <w:vAlign w:val="bottom"/>
          </w:tcPr>
          <w:p w:rsidR="005404EF" w:rsidRPr="002A3EAD" w:rsidRDefault="005404EF" w:rsidP="005404EF">
            <w:pPr>
              <w:rPr>
                <w:bCs/>
              </w:rPr>
            </w:pPr>
            <w:r w:rsidRPr="002A3EAD">
              <w:rPr>
                <w:bCs/>
              </w:rPr>
              <w:t>Суми с корективен характер</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pP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center"/>
            </w:pP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center"/>
            </w:pPr>
          </w:p>
        </w:tc>
      </w:tr>
      <w:tr w:rsidR="005404EF" w:rsidRPr="00C81CB7" w:rsidTr="007822EE">
        <w:trPr>
          <w:trHeight w:val="315"/>
        </w:trPr>
        <w:tc>
          <w:tcPr>
            <w:tcW w:w="1256" w:type="pct"/>
            <w:tcBorders>
              <w:top w:val="single" w:sz="4" w:space="0" w:color="auto"/>
              <w:left w:val="single" w:sz="4" w:space="0" w:color="auto"/>
              <w:right w:val="single" w:sz="4" w:space="0" w:color="auto"/>
            </w:tcBorders>
            <w:vAlign w:val="bottom"/>
          </w:tcPr>
          <w:p w:rsidR="005404EF" w:rsidRPr="00C81CB7" w:rsidRDefault="005404EF" w:rsidP="005404EF">
            <w:pPr>
              <w:rPr>
                <w:b/>
                <w:bCs/>
              </w:rPr>
            </w:pPr>
            <w:r w:rsidRPr="00C81CB7">
              <w:rPr>
                <w:b/>
                <w:bCs/>
              </w:rPr>
              <w:t xml:space="preserve">Печалба преди лихви и данъци  и амортизации </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54,140</w:t>
            </w: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44,737</w:t>
            </w: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21.0%</w:t>
            </w: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47,451</w:t>
            </w: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14.1%</w:t>
            </w:r>
          </w:p>
        </w:tc>
      </w:tr>
      <w:tr w:rsidR="005404EF" w:rsidRPr="002A3EAD" w:rsidTr="007822EE">
        <w:trPr>
          <w:trHeight w:val="315"/>
        </w:trPr>
        <w:tc>
          <w:tcPr>
            <w:tcW w:w="1256" w:type="pct"/>
            <w:tcBorders>
              <w:top w:val="single" w:sz="4" w:space="0" w:color="auto"/>
              <w:left w:val="single" w:sz="4" w:space="0" w:color="auto"/>
              <w:right w:val="single" w:sz="4" w:space="0" w:color="auto"/>
            </w:tcBorders>
            <w:vAlign w:val="bottom"/>
          </w:tcPr>
          <w:p w:rsidR="005404EF" w:rsidRPr="002A3EAD" w:rsidRDefault="005404EF" w:rsidP="005404EF">
            <w:r w:rsidRPr="002A3EAD">
              <w:t>Разходи за амортизации</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pPr>
            <w:r w:rsidRPr="005404EF">
              <w:t>16,192</w:t>
            </w: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16,576</w:t>
            </w: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-2.3%</w:t>
            </w: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14,398</w:t>
            </w: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12.5%</w:t>
            </w:r>
          </w:p>
        </w:tc>
      </w:tr>
      <w:tr w:rsidR="005404EF" w:rsidRPr="00C81CB7" w:rsidTr="007822EE">
        <w:trPr>
          <w:trHeight w:val="315"/>
        </w:trPr>
        <w:tc>
          <w:tcPr>
            <w:tcW w:w="1256" w:type="pct"/>
            <w:tcBorders>
              <w:top w:val="single" w:sz="4" w:space="0" w:color="auto"/>
              <w:left w:val="single" w:sz="4" w:space="0" w:color="auto"/>
              <w:right w:val="single" w:sz="4" w:space="0" w:color="auto"/>
            </w:tcBorders>
            <w:vAlign w:val="bottom"/>
          </w:tcPr>
          <w:p w:rsidR="005404EF" w:rsidRPr="00C81CB7" w:rsidRDefault="005404EF" w:rsidP="005404EF">
            <w:pPr>
              <w:rPr>
                <w:b/>
                <w:bCs/>
              </w:rPr>
            </w:pPr>
            <w:r w:rsidRPr="00C81CB7">
              <w:rPr>
                <w:b/>
                <w:bCs/>
              </w:rPr>
              <w:t xml:space="preserve">Печалба преди лихви и данъци </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37,948</w:t>
            </w: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28,161</w:t>
            </w: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34.8%</w:t>
            </w: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33,053</w:t>
            </w: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14.8%</w:t>
            </w:r>
          </w:p>
        </w:tc>
      </w:tr>
      <w:tr w:rsidR="005404EF" w:rsidRPr="002A3EAD" w:rsidTr="007822EE">
        <w:trPr>
          <w:trHeight w:val="315"/>
        </w:trPr>
        <w:tc>
          <w:tcPr>
            <w:tcW w:w="1256" w:type="pct"/>
            <w:tcBorders>
              <w:top w:val="single" w:sz="4" w:space="0" w:color="auto"/>
              <w:left w:val="single" w:sz="4" w:space="0" w:color="auto"/>
              <w:bottom w:val="single" w:sz="4" w:space="0" w:color="auto"/>
              <w:right w:val="single" w:sz="4" w:space="0" w:color="auto"/>
            </w:tcBorders>
            <w:vAlign w:val="bottom"/>
          </w:tcPr>
          <w:p w:rsidR="005404EF" w:rsidRPr="002A3EAD" w:rsidRDefault="005404EF" w:rsidP="005404EF">
            <w:r w:rsidRPr="002A3EAD">
              <w:t>Финансирания</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pP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center"/>
            </w:pP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center"/>
            </w:pPr>
          </w:p>
        </w:tc>
      </w:tr>
      <w:tr w:rsidR="005404EF" w:rsidRPr="002A3EAD" w:rsidTr="007822EE">
        <w:trPr>
          <w:trHeight w:val="315"/>
        </w:trPr>
        <w:tc>
          <w:tcPr>
            <w:tcW w:w="1256" w:type="pct"/>
            <w:tcBorders>
              <w:top w:val="single" w:sz="4" w:space="0" w:color="auto"/>
              <w:left w:val="single" w:sz="4" w:space="0" w:color="auto"/>
              <w:right w:val="single" w:sz="4" w:space="0" w:color="auto"/>
            </w:tcBorders>
            <w:vAlign w:val="bottom"/>
          </w:tcPr>
          <w:p w:rsidR="005404EF" w:rsidRPr="002A3EAD" w:rsidRDefault="005404EF" w:rsidP="005404EF">
            <w:r w:rsidRPr="002A3EAD">
              <w:t>Нетни финансови приходи (разходи)</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rPr>
                <w:lang w:val="en-US"/>
              </w:rPr>
            </w:pPr>
            <w:r>
              <w:rPr>
                <w:lang w:val="en-US"/>
              </w:rPr>
              <w:t>-</w:t>
            </w: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149</w:t>
            </w: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173</w:t>
            </w: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p>
        </w:tc>
      </w:tr>
      <w:tr w:rsidR="005404EF" w:rsidRPr="002A3EAD" w:rsidTr="007822EE">
        <w:trPr>
          <w:trHeight w:val="315"/>
        </w:trPr>
        <w:tc>
          <w:tcPr>
            <w:tcW w:w="1256" w:type="pct"/>
            <w:tcBorders>
              <w:top w:val="single" w:sz="4" w:space="0" w:color="auto"/>
              <w:left w:val="single" w:sz="4" w:space="0" w:color="auto"/>
              <w:right w:val="single" w:sz="4" w:space="0" w:color="auto"/>
            </w:tcBorders>
            <w:vAlign w:val="bottom"/>
          </w:tcPr>
          <w:p w:rsidR="005404EF" w:rsidRPr="002A3EAD" w:rsidRDefault="005404EF" w:rsidP="005404EF">
            <w:pPr>
              <w:rPr>
                <w:b/>
                <w:bCs/>
              </w:rPr>
            </w:pPr>
            <w:r w:rsidRPr="002A3EAD">
              <w:rPr>
                <w:b/>
                <w:bCs/>
              </w:rPr>
              <w:t>Печалба преди извънредни приходи (разходи)</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37,948</w:t>
            </w: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28,310</w:t>
            </w: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34.0%</w:t>
            </w: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33,226</w:t>
            </w: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14.2%</w:t>
            </w:r>
          </w:p>
        </w:tc>
      </w:tr>
      <w:tr w:rsidR="005404EF" w:rsidRPr="002A3EAD" w:rsidTr="007822EE">
        <w:trPr>
          <w:trHeight w:val="431"/>
        </w:trPr>
        <w:tc>
          <w:tcPr>
            <w:tcW w:w="1256" w:type="pct"/>
            <w:tcBorders>
              <w:top w:val="single" w:sz="4" w:space="0" w:color="auto"/>
              <w:left w:val="single" w:sz="4" w:space="0" w:color="auto"/>
              <w:right w:val="single" w:sz="4" w:space="0" w:color="auto"/>
            </w:tcBorders>
            <w:vAlign w:val="bottom"/>
          </w:tcPr>
          <w:p w:rsidR="005404EF" w:rsidRPr="002A3EAD" w:rsidRDefault="005404EF" w:rsidP="005404EF">
            <w:r w:rsidRPr="002A3EAD">
              <w:t>Нетни извънредни приходи (разходи)</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rPr>
                <w:lang w:val="en-US"/>
              </w:rPr>
            </w:pP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center"/>
              <w:rPr>
                <w:b/>
                <w:bCs/>
              </w:rPr>
            </w:pP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center"/>
              <w:rPr>
                <w:b/>
                <w:bCs/>
              </w:rPr>
            </w:pPr>
          </w:p>
        </w:tc>
      </w:tr>
      <w:tr w:rsidR="005404EF" w:rsidRPr="002A3EAD" w:rsidTr="007822EE">
        <w:trPr>
          <w:trHeight w:val="315"/>
        </w:trPr>
        <w:tc>
          <w:tcPr>
            <w:tcW w:w="1256" w:type="pct"/>
            <w:tcBorders>
              <w:top w:val="single" w:sz="4" w:space="0" w:color="auto"/>
              <w:left w:val="single" w:sz="4" w:space="0" w:color="auto"/>
              <w:bottom w:val="single" w:sz="4" w:space="0" w:color="auto"/>
              <w:right w:val="single" w:sz="4" w:space="0" w:color="auto"/>
            </w:tcBorders>
            <w:vAlign w:val="bottom"/>
          </w:tcPr>
          <w:p w:rsidR="005404EF" w:rsidRPr="002A3EAD" w:rsidRDefault="005404EF" w:rsidP="005404EF">
            <w:pPr>
              <w:rPr>
                <w:b/>
                <w:bCs/>
              </w:rPr>
            </w:pPr>
            <w:r w:rsidRPr="002A3EAD">
              <w:rPr>
                <w:b/>
                <w:bCs/>
              </w:rPr>
              <w:t xml:space="preserve">Печалба преди данъци </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37,948</w:t>
            </w: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28,310</w:t>
            </w: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34.0%</w:t>
            </w: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33,226</w:t>
            </w: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14.2%</w:t>
            </w:r>
          </w:p>
        </w:tc>
      </w:tr>
      <w:tr w:rsidR="005404EF" w:rsidRPr="002A3EAD" w:rsidTr="007822EE">
        <w:trPr>
          <w:trHeight w:val="315"/>
        </w:trPr>
        <w:tc>
          <w:tcPr>
            <w:tcW w:w="1256" w:type="pct"/>
            <w:tcBorders>
              <w:top w:val="single" w:sz="4" w:space="0" w:color="auto"/>
              <w:left w:val="single" w:sz="4" w:space="0" w:color="auto"/>
              <w:bottom w:val="single" w:sz="4" w:space="0" w:color="auto"/>
              <w:right w:val="single" w:sz="4" w:space="0" w:color="auto"/>
            </w:tcBorders>
            <w:vAlign w:val="bottom"/>
          </w:tcPr>
          <w:p w:rsidR="005404EF" w:rsidRPr="002A3EAD" w:rsidRDefault="005404EF" w:rsidP="005404EF">
            <w:r w:rsidRPr="002A3EAD">
              <w:t>Разходи за данъци</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pPr>
            <w:r w:rsidRPr="005404EF">
              <w:t>3,795</w:t>
            </w: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2,831</w:t>
            </w: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34.1%</w:t>
            </w: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pPr>
            <w:r w:rsidRPr="005404EF">
              <w:t>3,323</w:t>
            </w: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14.2%</w:t>
            </w:r>
          </w:p>
        </w:tc>
      </w:tr>
      <w:tr w:rsidR="005404EF" w:rsidRPr="002A3EAD" w:rsidTr="007822EE">
        <w:trPr>
          <w:trHeight w:val="172"/>
        </w:trPr>
        <w:tc>
          <w:tcPr>
            <w:tcW w:w="1256" w:type="pct"/>
            <w:tcBorders>
              <w:top w:val="single" w:sz="4" w:space="0" w:color="auto"/>
              <w:left w:val="single" w:sz="4" w:space="0" w:color="auto"/>
              <w:bottom w:val="single" w:sz="4" w:space="0" w:color="auto"/>
              <w:right w:val="single" w:sz="4" w:space="0" w:color="auto"/>
            </w:tcBorders>
            <w:vAlign w:val="bottom"/>
          </w:tcPr>
          <w:p w:rsidR="005404EF" w:rsidRPr="002A3EAD" w:rsidRDefault="005404EF" w:rsidP="005404EF">
            <w:pPr>
              <w:rPr>
                <w:b/>
                <w:bCs/>
              </w:rPr>
            </w:pPr>
            <w:r w:rsidRPr="002A3EAD">
              <w:rPr>
                <w:b/>
                <w:bCs/>
              </w:rPr>
              <w:t>Чиста печалба</w:t>
            </w:r>
          </w:p>
        </w:tc>
        <w:tc>
          <w:tcPr>
            <w:tcW w:w="727" w:type="pct"/>
            <w:tcBorders>
              <w:top w:val="nil"/>
              <w:left w:val="single" w:sz="4" w:space="0" w:color="auto"/>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34,153</w:t>
            </w:r>
          </w:p>
        </w:tc>
        <w:tc>
          <w:tcPr>
            <w:tcW w:w="67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25,479</w:t>
            </w:r>
          </w:p>
        </w:tc>
        <w:tc>
          <w:tcPr>
            <w:tcW w:w="461"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34.0%</w:t>
            </w:r>
          </w:p>
        </w:tc>
        <w:tc>
          <w:tcPr>
            <w:tcW w:w="1116"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29,903</w:t>
            </w:r>
          </w:p>
        </w:tc>
        <w:tc>
          <w:tcPr>
            <w:tcW w:w="764" w:type="pct"/>
            <w:tcBorders>
              <w:top w:val="nil"/>
              <w:left w:val="nil"/>
              <w:bottom w:val="single" w:sz="4" w:space="0" w:color="auto"/>
              <w:right w:val="single" w:sz="4" w:space="0" w:color="auto"/>
            </w:tcBorders>
            <w:shd w:val="clear" w:color="auto" w:fill="auto"/>
            <w:vAlign w:val="bottom"/>
          </w:tcPr>
          <w:p w:rsidR="005404EF" w:rsidRPr="005404EF" w:rsidRDefault="005404EF" w:rsidP="005404EF">
            <w:pPr>
              <w:jc w:val="right"/>
              <w:rPr>
                <w:b/>
                <w:bCs/>
              </w:rPr>
            </w:pPr>
            <w:r w:rsidRPr="005404EF">
              <w:rPr>
                <w:b/>
                <w:bCs/>
              </w:rPr>
              <w:t>14.2%</w:t>
            </w:r>
          </w:p>
        </w:tc>
      </w:tr>
    </w:tbl>
    <w:p w:rsidR="00073A69" w:rsidRDefault="00073A69" w:rsidP="00073A69">
      <w:pPr>
        <w:pStyle w:val="BlockText"/>
        <w:ind w:left="945" w:right="-24" w:firstLine="0"/>
        <w:rPr>
          <w:rFonts w:ascii="Times New Roman" w:hAnsi="Times New Roman"/>
          <w:lang w:val="ru-RU"/>
        </w:rPr>
      </w:pPr>
    </w:p>
    <w:p w:rsidR="0096382F" w:rsidRDefault="0096382F" w:rsidP="00073A69">
      <w:pPr>
        <w:pStyle w:val="BlockText"/>
        <w:ind w:left="945" w:right="-24" w:firstLine="0"/>
        <w:rPr>
          <w:rFonts w:ascii="Times New Roman" w:hAnsi="Times New Roman"/>
          <w:lang w:val="ru-RU"/>
        </w:rPr>
      </w:pPr>
    </w:p>
    <w:p w:rsidR="007544F9" w:rsidRDefault="00811CDB" w:rsidP="00406B1C">
      <w:pPr>
        <w:pStyle w:val="BlockText"/>
        <w:numPr>
          <w:ilvl w:val="0"/>
          <w:numId w:val="37"/>
        </w:numPr>
        <w:ind w:right="-24" w:hanging="236"/>
        <w:rPr>
          <w:rFonts w:ascii="Times New Roman" w:hAnsi="Times New Roman"/>
          <w:lang w:val="ru-RU"/>
        </w:rPr>
      </w:pPr>
      <w:r w:rsidRPr="00F30CC4">
        <w:rPr>
          <w:rFonts w:ascii="Times New Roman" w:hAnsi="Times New Roman"/>
          <w:lang w:val="ru-RU"/>
        </w:rPr>
        <w:lastRenderedPageBreak/>
        <w:t>Разходите по икономически елементи са по-</w:t>
      </w:r>
      <w:r w:rsidR="000F0661">
        <w:rPr>
          <w:rFonts w:ascii="Times New Roman" w:hAnsi="Times New Roman"/>
          <w:lang w:val="bg-BG"/>
        </w:rPr>
        <w:t>високи</w:t>
      </w:r>
      <w:r w:rsidRPr="00F30CC4">
        <w:rPr>
          <w:rFonts w:ascii="Times New Roman" w:hAnsi="Times New Roman"/>
          <w:lang w:val="ru-RU"/>
        </w:rPr>
        <w:t xml:space="preserve"> в сравнение с тези </w:t>
      </w:r>
      <w:r w:rsidR="00644C76" w:rsidRPr="00F30CC4">
        <w:rPr>
          <w:rFonts w:ascii="Times New Roman" w:hAnsi="Times New Roman"/>
          <w:lang w:val="ru-RU"/>
        </w:rPr>
        <w:t>за</w:t>
      </w:r>
      <w:r w:rsidRPr="00F30CC4">
        <w:rPr>
          <w:rFonts w:ascii="Times New Roman" w:hAnsi="Times New Roman"/>
          <w:lang w:val="ru-RU"/>
        </w:rPr>
        <w:t xml:space="preserve"> </w:t>
      </w:r>
      <w:r w:rsidR="00B5664C">
        <w:rPr>
          <w:rFonts w:ascii="Times New Roman" w:hAnsi="Times New Roman"/>
          <w:lang w:val="bg-BG"/>
        </w:rPr>
        <w:t xml:space="preserve">същия период на </w:t>
      </w:r>
      <w:r w:rsidR="00B5664C">
        <w:rPr>
          <w:rFonts w:ascii="Times New Roman" w:hAnsi="Times New Roman"/>
          <w:lang w:val="ru-RU"/>
        </w:rPr>
        <w:t>предходната</w:t>
      </w:r>
      <w:r w:rsidRPr="00F30CC4">
        <w:rPr>
          <w:rFonts w:ascii="Times New Roman" w:hAnsi="Times New Roman"/>
          <w:lang w:val="ru-RU"/>
        </w:rPr>
        <w:t xml:space="preserve"> година в размер на </w:t>
      </w:r>
      <w:r w:rsidR="007E1FFC">
        <w:rPr>
          <w:rFonts w:ascii="Times New Roman" w:hAnsi="Times New Roman"/>
        </w:rPr>
        <w:t>10,607</w:t>
      </w:r>
      <w:r w:rsidR="00CB53C7">
        <w:rPr>
          <w:rFonts w:ascii="Times New Roman" w:hAnsi="Times New Roman"/>
        </w:rPr>
        <w:t xml:space="preserve"> </w:t>
      </w:r>
      <w:r w:rsidRPr="00F30CC4">
        <w:rPr>
          <w:rFonts w:ascii="Times New Roman" w:hAnsi="Times New Roman"/>
          <w:lang w:val="ru-RU"/>
        </w:rPr>
        <w:t xml:space="preserve">хил. лв. </w:t>
      </w:r>
      <w:r w:rsidR="003722A8">
        <w:rPr>
          <w:rFonts w:ascii="Times New Roman" w:hAnsi="Times New Roman"/>
          <w:lang w:val="ru-RU"/>
        </w:rPr>
        <w:t>Увеличението</w:t>
      </w:r>
      <w:r w:rsidR="00C01487" w:rsidRPr="00F30CC4">
        <w:rPr>
          <w:rFonts w:ascii="Times New Roman" w:hAnsi="Times New Roman"/>
          <w:lang w:val="ru-RU"/>
        </w:rPr>
        <w:t xml:space="preserve"> </w:t>
      </w:r>
      <w:r w:rsidR="00415886" w:rsidRPr="00F30CC4">
        <w:rPr>
          <w:rFonts w:ascii="Times New Roman" w:hAnsi="Times New Roman"/>
          <w:lang w:val="ru-RU"/>
        </w:rPr>
        <w:t xml:space="preserve">до края на </w:t>
      </w:r>
      <w:r w:rsidR="00C634BE">
        <w:rPr>
          <w:rFonts w:ascii="Times New Roman" w:hAnsi="Times New Roman"/>
          <w:lang w:val="ru-RU"/>
        </w:rPr>
        <w:t>м.0</w:t>
      </w:r>
      <w:r w:rsidR="007E1FFC">
        <w:rPr>
          <w:rFonts w:ascii="Times New Roman" w:hAnsi="Times New Roman"/>
        </w:rPr>
        <w:t>9</w:t>
      </w:r>
      <w:r w:rsidR="00C634BE">
        <w:rPr>
          <w:rFonts w:ascii="Times New Roman" w:hAnsi="Times New Roman"/>
          <w:lang w:val="ru-RU"/>
        </w:rPr>
        <w:t>.</w:t>
      </w:r>
      <w:r w:rsidR="00B5664C">
        <w:rPr>
          <w:rFonts w:ascii="Times New Roman" w:hAnsi="Times New Roman"/>
          <w:lang w:val="ru-RU"/>
        </w:rPr>
        <w:t>201</w:t>
      </w:r>
      <w:r w:rsidR="00C634BE">
        <w:rPr>
          <w:rFonts w:ascii="Times New Roman" w:hAnsi="Times New Roman"/>
          <w:lang w:val="ru-RU"/>
        </w:rPr>
        <w:t>8</w:t>
      </w:r>
      <w:r w:rsidRPr="00F30CC4">
        <w:rPr>
          <w:rFonts w:ascii="Times New Roman" w:hAnsi="Times New Roman"/>
          <w:lang w:val="ru-RU"/>
        </w:rPr>
        <w:t xml:space="preserve"> г. се дължи на комбинираното влияние на следните изменения в разходите, отчетени по оперативни данни:</w:t>
      </w:r>
    </w:p>
    <w:p w:rsidR="007413F7" w:rsidRPr="000C67FE" w:rsidRDefault="007413F7" w:rsidP="007413F7">
      <w:pPr>
        <w:pStyle w:val="BlockText"/>
        <w:ind w:left="945" w:right="-24" w:firstLine="0"/>
        <w:rPr>
          <w:rFonts w:ascii="Times New Roman" w:hAnsi="Times New Roman"/>
        </w:rPr>
      </w:pPr>
    </w:p>
    <w:p w:rsidR="00364BF5" w:rsidRPr="00EE5B00" w:rsidRDefault="00364BF5" w:rsidP="00EE5B00">
      <w:pPr>
        <w:ind w:right="-24" w:firstLine="709"/>
        <w:jc w:val="both"/>
        <w:rPr>
          <w:i/>
          <w:lang w:val="ru-RU"/>
        </w:rPr>
      </w:pPr>
      <w:r>
        <w:rPr>
          <w:i/>
          <w:lang w:val="ru-RU"/>
        </w:rPr>
        <w:t>5</w:t>
      </w:r>
      <w:r w:rsidR="00811CDB" w:rsidRPr="00F30CC4">
        <w:rPr>
          <w:i/>
          <w:lang w:val="ru-RU"/>
        </w:rPr>
        <w:t>.1. Разходи за материали</w:t>
      </w:r>
      <w:r w:rsidR="00811CDB" w:rsidRPr="00F30CC4">
        <w:rPr>
          <w:i/>
          <w:lang w:val="en-US"/>
        </w:rPr>
        <w:t xml:space="preserve"> </w:t>
      </w:r>
      <w:r w:rsidR="00811CDB" w:rsidRPr="00F30CC4">
        <w:rPr>
          <w:i/>
          <w:lang w:val="ru-RU"/>
        </w:rPr>
        <w:t xml:space="preserve"> </w:t>
      </w:r>
      <w:r w:rsidR="00DC15A4" w:rsidRPr="00F30CC4">
        <w:rPr>
          <w:i/>
          <w:lang w:val="ru-RU"/>
        </w:rPr>
        <w:t>(</w:t>
      </w:r>
      <w:r w:rsidR="00B5664C">
        <w:rPr>
          <w:i/>
          <w:lang w:val="ru-RU"/>
        </w:rPr>
        <w:t>+</w:t>
      </w:r>
      <w:r w:rsidR="00EF4ACF">
        <w:rPr>
          <w:i/>
          <w:lang w:val="en-US"/>
        </w:rPr>
        <w:t>5</w:t>
      </w:r>
      <w:r w:rsidR="007E1FFC">
        <w:rPr>
          <w:i/>
          <w:lang w:val="en-US"/>
        </w:rPr>
        <w:t>98</w:t>
      </w:r>
      <w:r w:rsidR="00B67B51">
        <w:rPr>
          <w:i/>
          <w:lang w:val="en-US"/>
        </w:rPr>
        <w:t xml:space="preserve"> </w:t>
      </w:r>
      <w:r w:rsidR="004F226D" w:rsidRPr="00F30CC4">
        <w:rPr>
          <w:i/>
          <w:lang w:val="ru-RU"/>
        </w:rPr>
        <w:t>хил. лв.)</w:t>
      </w:r>
    </w:p>
    <w:p w:rsidR="00811CDB" w:rsidRPr="00F30CC4" w:rsidRDefault="00E536E6" w:rsidP="0068559E">
      <w:pPr>
        <w:pStyle w:val="BlockText"/>
        <w:ind w:left="0" w:right="-24" w:firstLine="708"/>
        <w:rPr>
          <w:rFonts w:ascii="Times New Roman" w:hAnsi="Times New Roman"/>
          <w:lang w:val="ru-RU"/>
        </w:rPr>
      </w:pPr>
      <w:r w:rsidRPr="00F30CC4">
        <w:rPr>
          <w:rFonts w:ascii="Times New Roman" w:hAnsi="Times New Roman"/>
          <w:lang w:val="ru-RU"/>
        </w:rPr>
        <w:t>Изменението</w:t>
      </w:r>
      <w:r w:rsidR="00811CDB" w:rsidRPr="00F30CC4">
        <w:rPr>
          <w:rFonts w:ascii="Times New Roman" w:hAnsi="Times New Roman"/>
          <w:lang w:val="ru-RU"/>
        </w:rPr>
        <w:t xml:space="preserve"> се дължи основно на комбинираното влияние на следните фактори:</w:t>
      </w:r>
    </w:p>
    <w:p w:rsidR="006935DB" w:rsidRDefault="006935DB" w:rsidP="006935DB">
      <w:pPr>
        <w:numPr>
          <w:ilvl w:val="0"/>
          <w:numId w:val="25"/>
        </w:numPr>
        <w:ind w:right="-24"/>
        <w:jc w:val="both"/>
      </w:pPr>
      <w:r>
        <w:t>увеличение на разходите за резервни части за ДМА (+</w:t>
      </w:r>
      <w:r w:rsidR="005D3435">
        <w:rPr>
          <w:lang w:val="en-GB"/>
        </w:rPr>
        <w:t>4</w:t>
      </w:r>
      <w:r w:rsidR="009A724C">
        <w:rPr>
          <w:lang w:val="en-GB"/>
        </w:rPr>
        <w:t>49</w:t>
      </w:r>
      <w:r>
        <w:t xml:space="preserve"> хил. лв.);</w:t>
      </w:r>
    </w:p>
    <w:p w:rsidR="004248D6" w:rsidRDefault="004248D6" w:rsidP="004248D6">
      <w:pPr>
        <w:numPr>
          <w:ilvl w:val="0"/>
          <w:numId w:val="25"/>
        </w:numPr>
        <w:ind w:right="-24"/>
        <w:jc w:val="both"/>
      </w:pPr>
      <w:r>
        <w:t>увеличение на разходите за електроенергия (+</w:t>
      </w:r>
      <w:r w:rsidR="009A724C">
        <w:rPr>
          <w:lang w:val="en-US"/>
        </w:rPr>
        <w:t>101</w:t>
      </w:r>
      <w:r>
        <w:t xml:space="preserve"> хил. лв.);</w:t>
      </w:r>
    </w:p>
    <w:p w:rsidR="00E80687" w:rsidRDefault="00E80687" w:rsidP="00E80687">
      <w:pPr>
        <w:numPr>
          <w:ilvl w:val="0"/>
          <w:numId w:val="25"/>
        </w:numPr>
        <w:ind w:right="-24"/>
        <w:jc w:val="both"/>
      </w:pPr>
      <w:r>
        <w:t>увеличение на разходите за работно облекло (+</w:t>
      </w:r>
      <w:r w:rsidR="005D3435">
        <w:rPr>
          <w:lang w:val="en-US"/>
        </w:rPr>
        <w:t>5</w:t>
      </w:r>
      <w:r w:rsidR="009A724C">
        <w:rPr>
          <w:lang w:val="en-US"/>
        </w:rPr>
        <w:t>0</w:t>
      </w:r>
      <w:r>
        <w:t xml:space="preserve"> хил. лв.);</w:t>
      </w:r>
    </w:p>
    <w:p w:rsidR="009A724C" w:rsidRDefault="009A724C" w:rsidP="00E80687">
      <w:pPr>
        <w:numPr>
          <w:ilvl w:val="0"/>
          <w:numId w:val="25"/>
        </w:numPr>
        <w:ind w:right="-24"/>
        <w:jc w:val="both"/>
      </w:pPr>
      <w:r>
        <w:t>увеличение на разходите за консумативи (+4</w:t>
      </w:r>
      <w:r>
        <w:rPr>
          <w:lang w:val="en-US"/>
        </w:rPr>
        <w:t>0</w:t>
      </w:r>
      <w:r>
        <w:t xml:space="preserve"> хил. лв.);</w:t>
      </w:r>
    </w:p>
    <w:p w:rsidR="00A74AF0" w:rsidRDefault="00A74AF0" w:rsidP="00747D28">
      <w:pPr>
        <w:numPr>
          <w:ilvl w:val="0"/>
          <w:numId w:val="25"/>
        </w:numPr>
        <w:ind w:right="-24"/>
        <w:jc w:val="both"/>
      </w:pPr>
      <w:r>
        <w:t xml:space="preserve">намаление на разходите за </w:t>
      </w:r>
      <w:r w:rsidR="00DF5F8C">
        <w:t>рекламни материали</w:t>
      </w:r>
      <w:r>
        <w:t xml:space="preserve"> (</w:t>
      </w:r>
      <w:r w:rsidR="004E7CF4">
        <w:t>-</w:t>
      </w:r>
      <w:r w:rsidR="00B564CC">
        <w:t>3</w:t>
      </w:r>
      <w:r w:rsidR="00864498">
        <w:t>5</w:t>
      </w:r>
      <w:r>
        <w:t xml:space="preserve"> хил. лв.)</w:t>
      </w:r>
      <w:r w:rsidR="0027155F">
        <w:t>.</w:t>
      </w:r>
    </w:p>
    <w:p w:rsidR="007413F7" w:rsidRPr="00A35C48" w:rsidRDefault="00811CDB" w:rsidP="00A35C48">
      <w:pPr>
        <w:pStyle w:val="BlockText"/>
        <w:ind w:left="0" w:right="-24" w:firstLine="708"/>
        <w:rPr>
          <w:rFonts w:ascii="Times New Roman" w:hAnsi="Times New Roman"/>
          <w:lang w:val="ru-RU"/>
        </w:rPr>
      </w:pPr>
      <w:r w:rsidRPr="00265651">
        <w:rPr>
          <w:rFonts w:ascii="Times New Roman" w:hAnsi="Times New Roman"/>
          <w:lang w:val="ru-RU"/>
        </w:rPr>
        <w:t xml:space="preserve">В останалите статии, включени в разходваните материали от предприятието, </w:t>
      </w:r>
      <w:r w:rsidR="0019532A">
        <w:rPr>
          <w:rFonts w:ascii="Times New Roman" w:hAnsi="Times New Roman"/>
          <w:lang w:val="ru-RU"/>
        </w:rPr>
        <w:t xml:space="preserve">се наблюдава </w:t>
      </w:r>
      <w:r w:rsidR="00864498">
        <w:rPr>
          <w:rFonts w:ascii="Times New Roman" w:hAnsi="Times New Roman"/>
          <w:lang w:val="ru-RU"/>
        </w:rPr>
        <w:t>намаление</w:t>
      </w:r>
      <w:r w:rsidR="0019532A">
        <w:rPr>
          <w:rFonts w:ascii="Times New Roman" w:hAnsi="Times New Roman"/>
          <w:lang w:val="ru-RU"/>
        </w:rPr>
        <w:t xml:space="preserve"> (</w:t>
      </w:r>
      <w:r w:rsidR="00864498">
        <w:rPr>
          <w:rFonts w:ascii="Times New Roman" w:hAnsi="Times New Roman"/>
          <w:lang w:val="bg-BG"/>
        </w:rPr>
        <w:t>7</w:t>
      </w:r>
      <w:r w:rsidR="00AB76A5">
        <w:rPr>
          <w:rFonts w:ascii="Times New Roman" w:hAnsi="Times New Roman"/>
          <w:lang w:val="ru-RU"/>
        </w:rPr>
        <w:t xml:space="preserve"> хил.лв.)</w:t>
      </w:r>
      <w:r w:rsidRPr="00C44620">
        <w:rPr>
          <w:rFonts w:ascii="Times New Roman" w:hAnsi="Times New Roman"/>
          <w:lang w:val="ru-RU"/>
        </w:rPr>
        <w:t xml:space="preserve">. </w:t>
      </w:r>
    </w:p>
    <w:p w:rsidR="007413F7" w:rsidRDefault="00DC15A4" w:rsidP="00A61C69">
      <w:pPr>
        <w:pStyle w:val="Body"/>
        <w:ind w:firstLine="708"/>
        <w:jc w:val="both"/>
        <w:rPr>
          <w:rStyle w:val="PageNumber"/>
          <w:rFonts w:cs="Times New Roman"/>
          <w:lang w:val="ru-RU"/>
        </w:rPr>
      </w:pPr>
      <w:r w:rsidRPr="00016C7E">
        <w:rPr>
          <w:rFonts w:cs="Times New Roman"/>
          <w:lang w:val="ru-RU"/>
        </w:rPr>
        <w:t xml:space="preserve">Разходите за материали са </w:t>
      </w:r>
      <w:r w:rsidR="00D8346A" w:rsidRPr="00016C7E">
        <w:rPr>
          <w:rFonts w:cs="Times New Roman"/>
          <w:lang w:val="ru-RU"/>
        </w:rPr>
        <w:t xml:space="preserve">с </w:t>
      </w:r>
      <w:r w:rsidR="007E1FFC">
        <w:rPr>
          <w:rFonts w:cs="Times New Roman"/>
          <w:lang w:val="en-US"/>
        </w:rPr>
        <w:t>20.51</w:t>
      </w:r>
      <w:r w:rsidR="00811CDB" w:rsidRPr="00016C7E">
        <w:rPr>
          <w:rFonts w:cs="Times New Roman"/>
          <w:lang w:val="ru-RU"/>
        </w:rPr>
        <w:t>% по-</w:t>
      </w:r>
      <w:r w:rsidR="009A1DA0" w:rsidRPr="00016C7E">
        <w:rPr>
          <w:rFonts w:cs="Times New Roman"/>
          <w:lang w:val="ru-RU"/>
        </w:rPr>
        <w:t>ниски</w:t>
      </w:r>
      <w:r w:rsidR="00811CDB" w:rsidRPr="00016C7E">
        <w:rPr>
          <w:rFonts w:cs="Times New Roman"/>
          <w:lang w:val="ru-RU"/>
        </w:rPr>
        <w:t xml:space="preserve"> в сравнение със заложеното </w:t>
      </w:r>
      <w:r w:rsidR="00EE5B00">
        <w:rPr>
          <w:rStyle w:val="PageNumber"/>
          <w:rFonts w:cs="Times New Roman"/>
          <w:lang w:val="ru-RU"/>
        </w:rPr>
        <w:t>за периода в ГФП за 201</w:t>
      </w:r>
      <w:r w:rsidR="009D32F3">
        <w:rPr>
          <w:rStyle w:val="PageNumber"/>
          <w:rFonts w:cs="Times New Roman"/>
          <w:lang w:val="ru-RU"/>
        </w:rPr>
        <w:t>8</w:t>
      </w:r>
      <w:r w:rsidR="005E05DA" w:rsidRPr="00016C7E">
        <w:rPr>
          <w:rStyle w:val="PageNumber"/>
          <w:rFonts w:cs="Times New Roman"/>
          <w:lang w:val="ru-RU"/>
        </w:rPr>
        <w:t xml:space="preserve"> г.</w:t>
      </w:r>
    </w:p>
    <w:p w:rsidR="0010528B" w:rsidRPr="00A61C69" w:rsidRDefault="0010528B" w:rsidP="00A61C69">
      <w:pPr>
        <w:pStyle w:val="Body"/>
        <w:ind w:firstLine="708"/>
        <w:jc w:val="both"/>
        <w:rPr>
          <w:rFonts w:cs="Times New Roman"/>
          <w:lang w:val="en-US"/>
        </w:rPr>
      </w:pPr>
    </w:p>
    <w:p w:rsidR="00811CDB" w:rsidRPr="00CA1A91" w:rsidRDefault="00CE14E1" w:rsidP="0068559E">
      <w:pPr>
        <w:ind w:right="-24" w:firstLine="709"/>
        <w:jc w:val="both"/>
        <w:rPr>
          <w:i/>
          <w:lang w:val="ru-RU"/>
        </w:rPr>
      </w:pPr>
      <w:r w:rsidRPr="000A16F6">
        <w:rPr>
          <w:i/>
          <w:lang w:val="ru-RU"/>
        </w:rPr>
        <w:t>5</w:t>
      </w:r>
      <w:r w:rsidR="00811CDB" w:rsidRPr="000A16F6">
        <w:rPr>
          <w:i/>
          <w:lang w:val="ru-RU"/>
        </w:rPr>
        <w:t>.2. Разходи за външни услуги (</w:t>
      </w:r>
      <w:r w:rsidR="00B67B51">
        <w:rPr>
          <w:i/>
          <w:lang w:val="en-US"/>
        </w:rPr>
        <w:t>+</w:t>
      </w:r>
      <w:r w:rsidR="00D60AFA">
        <w:rPr>
          <w:i/>
          <w:lang w:val="en-US"/>
        </w:rPr>
        <w:t>740</w:t>
      </w:r>
      <w:r w:rsidR="00624DF9">
        <w:rPr>
          <w:i/>
        </w:rPr>
        <w:t xml:space="preserve"> </w:t>
      </w:r>
      <w:r w:rsidR="00B5664C" w:rsidRPr="000A16F6">
        <w:rPr>
          <w:i/>
        </w:rPr>
        <w:t xml:space="preserve"> </w:t>
      </w:r>
      <w:r w:rsidR="00AA6A1B" w:rsidRPr="000A16F6">
        <w:rPr>
          <w:i/>
          <w:lang w:val="ru-RU"/>
        </w:rPr>
        <w:t>хил. лв.)</w:t>
      </w:r>
    </w:p>
    <w:p w:rsidR="00B45941" w:rsidRPr="000F16A3" w:rsidRDefault="00E97AC5" w:rsidP="0068559E">
      <w:pPr>
        <w:pStyle w:val="BlockText"/>
        <w:ind w:left="0" w:right="-24" w:firstLine="708"/>
        <w:rPr>
          <w:rFonts w:ascii="Times New Roman" w:hAnsi="Times New Roman"/>
          <w:lang w:val="ru-RU"/>
        </w:rPr>
      </w:pPr>
      <w:r w:rsidRPr="000F16A3">
        <w:rPr>
          <w:rFonts w:ascii="Times New Roman" w:hAnsi="Times New Roman"/>
          <w:lang w:val="bg-BG"/>
        </w:rPr>
        <w:t>Изменението</w:t>
      </w:r>
      <w:r w:rsidR="005473FD" w:rsidRPr="000F16A3">
        <w:rPr>
          <w:rFonts w:ascii="Times New Roman" w:hAnsi="Times New Roman"/>
          <w:lang w:val="ru-RU"/>
        </w:rPr>
        <w:t xml:space="preserve"> </w:t>
      </w:r>
      <w:r w:rsidR="00811CDB" w:rsidRPr="000F16A3">
        <w:rPr>
          <w:rFonts w:ascii="Times New Roman" w:hAnsi="Times New Roman"/>
          <w:lang w:val="ru-RU"/>
        </w:rPr>
        <w:t xml:space="preserve">се дължи основно на </w:t>
      </w:r>
      <w:r w:rsidR="00811CDB" w:rsidRPr="000F16A3">
        <w:rPr>
          <w:rFonts w:ascii="Times New Roman" w:hAnsi="Times New Roman"/>
          <w:lang w:val="bg-BG"/>
        </w:rPr>
        <w:t>комбинираното</w:t>
      </w:r>
      <w:r w:rsidR="00811CDB" w:rsidRPr="000F16A3">
        <w:rPr>
          <w:rFonts w:ascii="Times New Roman" w:hAnsi="Times New Roman"/>
          <w:lang w:val="ru-RU"/>
        </w:rPr>
        <w:t xml:space="preserve"> влияние на следните фактори:</w:t>
      </w:r>
    </w:p>
    <w:p w:rsidR="00E965AA" w:rsidRDefault="00E965AA" w:rsidP="00E965AA">
      <w:pPr>
        <w:numPr>
          <w:ilvl w:val="0"/>
          <w:numId w:val="25"/>
        </w:numPr>
        <w:ind w:right="-24"/>
        <w:jc w:val="both"/>
      </w:pPr>
      <w:r>
        <w:t>увеличение на разходите за консултации и разработки (+</w:t>
      </w:r>
      <w:r w:rsidR="008D27A1">
        <w:rPr>
          <w:lang w:val="en-US"/>
        </w:rPr>
        <w:t>5</w:t>
      </w:r>
      <w:r w:rsidR="00897650">
        <w:t>0</w:t>
      </w:r>
      <w:r w:rsidR="008D27A1">
        <w:rPr>
          <w:lang w:val="en-US"/>
        </w:rPr>
        <w:t>3</w:t>
      </w:r>
      <w:r>
        <w:t xml:space="preserve"> хил. лв.);</w:t>
      </w:r>
    </w:p>
    <w:p w:rsidR="008D27A1" w:rsidRPr="00D80E39" w:rsidRDefault="008D27A1" w:rsidP="00E965AA">
      <w:pPr>
        <w:numPr>
          <w:ilvl w:val="0"/>
          <w:numId w:val="25"/>
        </w:numPr>
        <w:ind w:right="-24"/>
        <w:jc w:val="both"/>
      </w:pPr>
      <w:r>
        <w:t xml:space="preserve">увеличение на разходите за </w:t>
      </w:r>
      <w:r w:rsidR="00D80E39">
        <w:t>международен членски внос</w:t>
      </w:r>
      <w:r>
        <w:t xml:space="preserve"> (+</w:t>
      </w:r>
      <w:r w:rsidR="00A327F2">
        <w:t>479</w:t>
      </w:r>
      <w:r>
        <w:t xml:space="preserve"> хил. лв.)</w:t>
      </w:r>
      <w:r>
        <w:rPr>
          <w:lang w:val="en-US"/>
        </w:rPr>
        <w:t>;</w:t>
      </w:r>
    </w:p>
    <w:p w:rsidR="009C3F03" w:rsidRDefault="009C3F03" w:rsidP="009C3F03">
      <w:pPr>
        <w:numPr>
          <w:ilvl w:val="0"/>
          <w:numId w:val="25"/>
        </w:numPr>
        <w:ind w:right="-24"/>
        <w:jc w:val="both"/>
      </w:pPr>
      <w:r>
        <w:t>увеличение на разходите за административна такса на Евроконтрол (+</w:t>
      </w:r>
      <w:r w:rsidR="008D27A1">
        <w:rPr>
          <w:lang w:val="en-US"/>
        </w:rPr>
        <w:t>3</w:t>
      </w:r>
      <w:r w:rsidR="00F349F4">
        <w:t>90</w:t>
      </w:r>
      <w:r w:rsidR="00712864">
        <w:rPr>
          <w:lang w:val="en-US"/>
        </w:rPr>
        <w:t xml:space="preserve"> </w:t>
      </w:r>
      <w:r>
        <w:t>хил. лв.);</w:t>
      </w:r>
    </w:p>
    <w:p w:rsidR="00BF1820" w:rsidRDefault="00BF1820" w:rsidP="00BF1820">
      <w:pPr>
        <w:numPr>
          <w:ilvl w:val="0"/>
          <w:numId w:val="25"/>
        </w:numPr>
        <w:ind w:right="-24"/>
        <w:jc w:val="both"/>
      </w:pPr>
      <w:r>
        <w:t>увеличение на разходите за поддръжка на софтуер (+</w:t>
      </w:r>
      <w:r w:rsidR="00BA3BC9">
        <w:rPr>
          <w:lang w:val="en-US"/>
        </w:rPr>
        <w:t>2</w:t>
      </w:r>
      <w:r w:rsidR="00F349F4">
        <w:t>32</w:t>
      </w:r>
      <w:r>
        <w:t xml:space="preserve"> хил. лв.);</w:t>
      </w:r>
    </w:p>
    <w:p w:rsidR="00BA3BC9" w:rsidRDefault="00BA3BC9" w:rsidP="00BF1820">
      <w:pPr>
        <w:numPr>
          <w:ilvl w:val="0"/>
          <w:numId w:val="25"/>
        </w:numPr>
        <w:ind w:right="-24"/>
        <w:jc w:val="both"/>
      </w:pPr>
      <w:r>
        <w:t>увеличение на разходите за ремонт на социалните бази (+1</w:t>
      </w:r>
      <w:r w:rsidR="008D27A1">
        <w:rPr>
          <w:lang w:val="en-US"/>
        </w:rPr>
        <w:t>24</w:t>
      </w:r>
      <w:r>
        <w:t xml:space="preserve"> хил. лв.);</w:t>
      </w:r>
    </w:p>
    <w:p w:rsidR="00225906" w:rsidRDefault="00225906" w:rsidP="00225906">
      <w:pPr>
        <w:numPr>
          <w:ilvl w:val="0"/>
          <w:numId w:val="25"/>
        </w:numPr>
        <w:ind w:right="-24"/>
        <w:jc w:val="both"/>
      </w:pPr>
      <w:r>
        <w:t>увеличение на разходите за обслужване на учебно-възстановителните бази (+</w:t>
      </w:r>
      <w:r w:rsidR="00BA3BC9">
        <w:t>1</w:t>
      </w:r>
      <w:r w:rsidR="008D27A1">
        <w:rPr>
          <w:lang w:val="en-US"/>
        </w:rPr>
        <w:t>1</w:t>
      </w:r>
      <w:r w:rsidR="00F349F4">
        <w:t>7</w:t>
      </w:r>
      <w:r>
        <w:t xml:space="preserve"> хил. лв.);</w:t>
      </w:r>
    </w:p>
    <w:p w:rsidR="008C7A66" w:rsidRDefault="008C7A66" w:rsidP="008C7A66">
      <w:pPr>
        <w:numPr>
          <w:ilvl w:val="0"/>
          <w:numId w:val="25"/>
        </w:numPr>
        <w:ind w:right="-24"/>
        <w:jc w:val="both"/>
      </w:pPr>
      <w:r>
        <w:t>увеличение на разходите за ремонт на ДМА (+103 хил. лв.);</w:t>
      </w:r>
    </w:p>
    <w:p w:rsidR="00D80E39" w:rsidRDefault="00D80E39" w:rsidP="00D80E39">
      <w:pPr>
        <w:numPr>
          <w:ilvl w:val="0"/>
          <w:numId w:val="25"/>
        </w:numPr>
        <w:ind w:right="-24"/>
        <w:jc w:val="both"/>
      </w:pPr>
      <w:r w:rsidRPr="008C7A66">
        <w:t xml:space="preserve">увеличение на разходите за </w:t>
      </w:r>
      <w:r w:rsidR="00F349F4" w:rsidRPr="008C7A66">
        <w:t>поддръжка</w:t>
      </w:r>
      <w:r w:rsidR="00791AD2" w:rsidRPr="008C7A66">
        <w:t xml:space="preserve"> на активи </w:t>
      </w:r>
      <w:r w:rsidRPr="008C7A66">
        <w:t>(+</w:t>
      </w:r>
      <w:r w:rsidR="00F349F4" w:rsidRPr="008C7A66">
        <w:t>88</w:t>
      </w:r>
      <w:r w:rsidRPr="008C7A66">
        <w:t xml:space="preserve"> хил. лв.);</w:t>
      </w:r>
    </w:p>
    <w:p w:rsidR="008C7A66" w:rsidRPr="008C7A66" w:rsidRDefault="008C7A66" w:rsidP="008C7A66">
      <w:pPr>
        <w:numPr>
          <w:ilvl w:val="0"/>
          <w:numId w:val="25"/>
        </w:numPr>
        <w:ind w:right="-24"/>
        <w:jc w:val="both"/>
      </w:pPr>
      <w:r>
        <w:t>увеличение на разходите за ННО, в т.ч. за ТиС (+50 хил. лв.);</w:t>
      </w:r>
    </w:p>
    <w:p w:rsidR="0027155F" w:rsidRDefault="0027155F" w:rsidP="0027155F">
      <w:pPr>
        <w:numPr>
          <w:ilvl w:val="0"/>
          <w:numId w:val="25"/>
        </w:numPr>
        <w:ind w:right="-24"/>
        <w:jc w:val="both"/>
      </w:pPr>
      <w:r>
        <w:t>намаление на разходите за повишаване на квалификация (-</w:t>
      </w:r>
      <w:r w:rsidR="008C7A66">
        <w:t>814</w:t>
      </w:r>
      <w:r>
        <w:t xml:space="preserve"> хил.</w:t>
      </w:r>
      <w:r w:rsidR="004433E6">
        <w:t xml:space="preserve"> </w:t>
      </w:r>
      <w:r>
        <w:t>лв.);</w:t>
      </w:r>
    </w:p>
    <w:p w:rsidR="008C7A66" w:rsidRDefault="0006526B" w:rsidP="0006526B">
      <w:pPr>
        <w:numPr>
          <w:ilvl w:val="0"/>
          <w:numId w:val="25"/>
        </w:numPr>
        <w:ind w:right="-24"/>
        <w:jc w:val="both"/>
      </w:pPr>
      <w:r>
        <w:t xml:space="preserve">намаление на разходите за </w:t>
      </w:r>
      <w:r w:rsidR="008C7A66">
        <w:t>ремонт на сгради</w:t>
      </w:r>
      <w:r>
        <w:t xml:space="preserve"> (-</w:t>
      </w:r>
      <w:r w:rsidR="008C7A66">
        <w:t>451</w:t>
      </w:r>
      <w:r>
        <w:t xml:space="preserve"> хил.</w:t>
      </w:r>
      <w:r w:rsidR="004433E6">
        <w:t xml:space="preserve"> </w:t>
      </w:r>
      <w:r>
        <w:t>лв.)</w:t>
      </w:r>
      <w:r w:rsidR="008C7A66">
        <w:t>;</w:t>
      </w:r>
    </w:p>
    <w:p w:rsidR="0006526B" w:rsidRDefault="008C7A66" w:rsidP="008C7A66">
      <w:pPr>
        <w:numPr>
          <w:ilvl w:val="0"/>
          <w:numId w:val="25"/>
        </w:numPr>
        <w:ind w:right="-24"/>
        <w:jc w:val="both"/>
      </w:pPr>
      <w:r>
        <w:t>намаление на разходите за подготовка, тест и обучение във връзка с придобиването на активи (-138 хил. лв.).</w:t>
      </w:r>
    </w:p>
    <w:p w:rsidR="00C32612" w:rsidRPr="00A35C48" w:rsidRDefault="00811CDB" w:rsidP="00A35C48">
      <w:pPr>
        <w:ind w:right="-24" w:firstLine="708"/>
        <w:jc w:val="both"/>
        <w:rPr>
          <w:lang w:val="ru-RU"/>
        </w:rPr>
      </w:pPr>
      <w:r w:rsidRPr="00A6291B">
        <w:rPr>
          <w:lang w:val="ru-RU"/>
        </w:rPr>
        <w:t>В останалите статии, включени в разходи</w:t>
      </w:r>
      <w:r w:rsidR="00DF6485" w:rsidRPr="00A6291B">
        <w:rPr>
          <w:lang w:val="ru-RU"/>
        </w:rPr>
        <w:t>те за външни услуги</w:t>
      </w:r>
      <w:r w:rsidR="007364BF">
        <w:rPr>
          <w:lang w:val="ru-RU"/>
        </w:rPr>
        <w:t xml:space="preserve"> предприятието има общо </w:t>
      </w:r>
      <w:r w:rsidR="007C0C3A">
        <w:t>увеличение</w:t>
      </w:r>
      <w:r w:rsidR="00916953" w:rsidRPr="00A6291B">
        <w:rPr>
          <w:color w:val="FF0000"/>
          <w:lang w:val="ru-RU"/>
        </w:rPr>
        <w:t xml:space="preserve"> </w:t>
      </w:r>
      <w:r w:rsidRPr="00A6291B">
        <w:rPr>
          <w:lang w:val="ru-RU"/>
        </w:rPr>
        <w:t xml:space="preserve">в размер на </w:t>
      </w:r>
      <w:r w:rsidR="007C0C3A">
        <w:t>57</w:t>
      </w:r>
      <w:r w:rsidR="00600F8A">
        <w:t xml:space="preserve"> </w:t>
      </w:r>
      <w:r w:rsidRPr="00A6291B">
        <w:rPr>
          <w:lang w:val="ru-RU"/>
        </w:rPr>
        <w:t>хил. лв.</w:t>
      </w:r>
    </w:p>
    <w:p w:rsidR="00811CDB" w:rsidRDefault="00811CDB" w:rsidP="00A61C69">
      <w:pPr>
        <w:ind w:right="-24" w:firstLine="708"/>
        <w:jc w:val="both"/>
        <w:rPr>
          <w:lang w:val="ru-RU"/>
        </w:rPr>
      </w:pPr>
      <w:r w:rsidRPr="00F072BF">
        <w:rPr>
          <w:lang w:val="ru-RU"/>
        </w:rPr>
        <w:t xml:space="preserve">Разходите за външни услуги са с </w:t>
      </w:r>
      <w:r w:rsidR="007835D3">
        <w:rPr>
          <w:lang w:val="en-US"/>
        </w:rPr>
        <w:t>31.</w:t>
      </w:r>
      <w:r w:rsidR="005F4BD8">
        <w:rPr>
          <w:lang w:val="en-US"/>
        </w:rPr>
        <w:t>5</w:t>
      </w:r>
      <w:r w:rsidR="007835D3">
        <w:rPr>
          <w:lang w:val="en-US"/>
        </w:rPr>
        <w:t>7</w:t>
      </w:r>
      <w:r w:rsidRPr="00F072BF">
        <w:rPr>
          <w:lang w:val="ru-RU"/>
        </w:rPr>
        <w:t>% по-ниски в сравнение със заложеното в плана.</w:t>
      </w:r>
    </w:p>
    <w:p w:rsidR="00C634BE" w:rsidRPr="00F072BF" w:rsidRDefault="00C634BE" w:rsidP="00A61C69">
      <w:pPr>
        <w:ind w:right="-24" w:firstLine="708"/>
        <w:jc w:val="both"/>
        <w:rPr>
          <w:lang w:val="ru-RU"/>
        </w:rPr>
      </w:pPr>
    </w:p>
    <w:p w:rsidR="00811CDB" w:rsidRPr="00E06FA7" w:rsidRDefault="00CE14E1" w:rsidP="0068559E">
      <w:pPr>
        <w:ind w:right="-24" w:firstLine="709"/>
        <w:jc w:val="both"/>
        <w:rPr>
          <w:i/>
          <w:lang w:val="ru-RU"/>
        </w:rPr>
      </w:pPr>
      <w:r w:rsidRPr="00E06FA7">
        <w:rPr>
          <w:i/>
          <w:lang w:val="ru-RU"/>
        </w:rPr>
        <w:t>5</w:t>
      </w:r>
      <w:r w:rsidR="00811CDB" w:rsidRPr="00E06FA7">
        <w:rPr>
          <w:i/>
          <w:lang w:val="ru-RU"/>
        </w:rPr>
        <w:t xml:space="preserve">.3. Други разходи </w:t>
      </w:r>
      <w:r w:rsidR="00811CDB" w:rsidRPr="00E06FA7">
        <w:rPr>
          <w:i/>
          <w:lang w:val="en-US"/>
        </w:rPr>
        <w:t>(</w:t>
      </w:r>
      <w:r w:rsidR="00D60AFA">
        <w:rPr>
          <w:i/>
          <w:lang w:val="en-US"/>
        </w:rPr>
        <w:t>- 94</w:t>
      </w:r>
      <w:r w:rsidR="0010528B">
        <w:rPr>
          <w:i/>
        </w:rPr>
        <w:t xml:space="preserve"> </w:t>
      </w:r>
      <w:r w:rsidR="00AA6A1B" w:rsidRPr="00E06FA7">
        <w:rPr>
          <w:i/>
          <w:lang w:val="ru-RU"/>
        </w:rPr>
        <w:t>хил. лв.)</w:t>
      </w:r>
    </w:p>
    <w:p w:rsidR="00C5111D" w:rsidRPr="00E06FA7" w:rsidRDefault="006F62C6" w:rsidP="00E50F42">
      <w:pPr>
        <w:pStyle w:val="BlockText"/>
        <w:ind w:left="0" w:right="-24" w:firstLine="708"/>
        <w:rPr>
          <w:rFonts w:ascii="Times New Roman" w:hAnsi="Times New Roman"/>
          <w:lang w:val="ru-RU"/>
        </w:rPr>
      </w:pPr>
      <w:r w:rsidRPr="00E06FA7">
        <w:rPr>
          <w:rFonts w:ascii="Times New Roman" w:hAnsi="Times New Roman"/>
          <w:lang w:val="ru-RU"/>
        </w:rPr>
        <w:t xml:space="preserve">В сравнение с </w:t>
      </w:r>
      <w:r w:rsidR="00CC72B1" w:rsidRPr="00E06FA7">
        <w:rPr>
          <w:rFonts w:ascii="Times New Roman" w:hAnsi="Times New Roman"/>
          <w:lang w:val="ru-RU"/>
        </w:rPr>
        <w:t>201</w:t>
      </w:r>
      <w:r w:rsidR="006E2BA9">
        <w:rPr>
          <w:rFonts w:ascii="Times New Roman" w:hAnsi="Times New Roman"/>
        </w:rPr>
        <w:t>7</w:t>
      </w:r>
      <w:r w:rsidR="00DE062F" w:rsidRPr="00E06FA7">
        <w:rPr>
          <w:rFonts w:ascii="Times New Roman" w:hAnsi="Times New Roman"/>
        </w:rPr>
        <w:t xml:space="preserve"> </w:t>
      </w:r>
      <w:r w:rsidR="00811CDB" w:rsidRPr="00E06FA7">
        <w:rPr>
          <w:rFonts w:ascii="Times New Roman" w:hAnsi="Times New Roman"/>
          <w:lang w:val="ru-RU"/>
        </w:rPr>
        <w:t>г.</w:t>
      </w:r>
      <w:r w:rsidR="002A3EAD" w:rsidRPr="00E06FA7">
        <w:rPr>
          <w:rFonts w:ascii="Times New Roman" w:hAnsi="Times New Roman"/>
          <w:lang w:val="ru-RU"/>
        </w:rPr>
        <w:t>,</w:t>
      </w:r>
      <w:r w:rsidR="00811CDB" w:rsidRPr="00E06FA7">
        <w:rPr>
          <w:rFonts w:ascii="Times New Roman" w:hAnsi="Times New Roman"/>
          <w:lang w:val="ru-RU"/>
        </w:rPr>
        <w:t xml:space="preserve"> </w:t>
      </w:r>
      <w:r w:rsidR="0042551F" w:rsidRPr="00E06FA7">
        <w:rPr>
          <w:rFonts w:ascii="Times New Roman" w:hAnsi="Times New Roman"/>
          <w:lang w:val="ru-RU"/>
        </w:rPr>
        <w:t>през</w:t>
      </w:r>
      <w:r w:rsidR="00CC72B1" w:rsidRPr="00E06FA7">
        <w:rPr>
          <w:rFonts w:ascii="Times New Roman" w:hAnsi="Times New Roman"/>
          <w:lang w:val="ru-RU"/>
        </w:rPr>
        <w:t xml:space="preserve"> 201</w:t>
      </w:r>
      <w:r w:rsidR="006E2BA9">
        <w:rPr>
          <w:rFonts w:ascii="Times New Roman" w:hAnsi="Times New Roman"/>
        </w:rPr>
        <w:t>8</w:t>
      </w:r>
      <w:r w:rsidR="001C26ED" w:rsidRPr="00E06FA7">
        <w:rPr>
          <w:rFonts w:ascii="Times New Roman" w:hAnsi="Times New Roman"/>
        </w:rPr>
        <w:t xml:space="preserve"> </w:t>
      </w:r>
      <w:r w:rsidR="00811CDB" w:rsidRPr="00E06FA7">
        <w:rPr>
          <w:rFonts w:ascii="Times New Roman" w:hAnsi="Times New Roman"/>
          <w:lang w:val="ru-RU"/>
        </w:rPr>
        <w:t xml:space="preserve">г. </w:t>
      </w:r>
      <w:r w:rsidR="00F67DF1" w:rsidRPr="00E06FA7">
        <w:rPr>
          <w:rFonts w:ascii="Times New Roman" w:hAnsi="Times New Roman"/>
          <w:lang w:val="ru-RU"/>
        </w:rPr>
        <w:t>общият размер на</w:t>
      </w:r>
      <w:r w:rsidR="00811CDB" w:rsidRPr="00E06FA7">
        <w:rPr>
          <w:rFonts w:ascii="Times New Roman" w:hAnsi="Times New Roman"/>
          <w:lang w:val="ru-RU"/>
        </w:rPr>
        <w:t xml:space="preserve"> други</w:t>
      </w:r>
      <w:r w:rsidR="00916953" w:rsidRPr="00E06FA7">
        <w:rPr>
          <w:rFonts w:ascii="Times New Roman" w:hAnsi="Times New Roman"/>
          <w:lang w:val="ru-RU"/>
        </w:rPr>
        <w:t>те</w:t>
      </w:r>
      <w:r w:rsidR="00811CDB" w:rsidRPr="00E06FA7">
        <w:rPr>
          <w:rFonts w:ascii="Times New Roman" w:hAnsi="Times New Roman"/>
          <w:lang w:val="ru-RU"/>
        </w:rPr>
        <w:t xml:space="preserve"> разходи </w:t>
      </w:r>
      <w:r w:rsidR="00F67DF1" w:rsidRPr="00E06FA7">
        <w:rPr>
          <w:rFonts w:ascii="Times New Roman" w:hAnsi="Times New Roman"/>
          <w:lang w:val="ru-RU"/>
        </w:rPr>
        <w:t xml:space="preserve">е </w:t>
      </w:r>
      <w:r w:rsidR="008A4275" w:rsidRPr="00E06FA7">
        <w:rPr>
          <w:rFonts w:ascii="Times New Roman" w:hAnsi="Times New Roman"/>
          <w:lang w:val="ru-RU"/>
        </w:rPr>
        <w:t>по-</w:t>
      </w:r>
      <w:r w:rsidR="00146BD0">
        <w:rPr>
          <w:rFonts w:ascii="Times New Roman" w:hAnsi="Times New Roman"/>
          <w:lang w:val="ru-RU"/>
        </w:rPr>
        <w:t>нисък</w:t>
      </w:r>
      <w:r w:rsidR="00F67DF1" w:rsidRPr="00E06FA7">
        <w:rPr>
          <w:rFonts w:ascii="Times New Roman" w:hAnsi="Times New Roman"/>
          <w:lang w:val="ru-RU"/>
        </w:rPr>
        <w:t xml:space="preserve"> </w:t>
      </w:r>
      <w:r w:rsidR="00C5111D" w:rsidRPr="00E06FA7">
        <w:rPr>
          <w:rFonts w:ascii="Times New Roman" w:hAnsi="Times New Roman"/>
          <w:lang w:val="ru-RU"/>
        </w:rPr>
        <w:t xml:space="preserve">основно </w:t>
      </w:r>
      <w:r w:rsidR="003404C4" w:rsidRPr="00E06FA7">
        <w:rPr>
          <w:rFonts w:ascii="Times New Roman" w:hAnsi="Times New Roman"/>
          <w:lang w:val="bg-BG"/>
        </w:rPr>
        <w:t>поради</w:t>
      </w:r>
      <w:r w:rsidR="00354FDD" w:rsidRPr="00E06FA7">
        <w:rPr>
          <w:rFonts w:ascii="Times New Roman" w:hAnsi="Times New Roman"/>
          <w:lang w:val="bg-BG"/>
        </w:rPr>
        <w:t xml:space="preserve"> </w:t>
      </w:r>
      <w:r w:rsidR="00F1039E">
        <w:rPr>
          <w:rFonts w:ascii="Times New Roman" w:hAnsi="Times New Roman"/>
          <w:lang w:val="bg-BG"/>
        </w:rPr>
        <w:t xml:space="preserve">комбинирания ефект от </w:t>
      </w:r>
      <w:r w:rsidR="00354FDD" w:rsidRPr="00E06FA7">
        <w:rPr>
          <w:rFonts w:ascii="Times New Roman" w:hAnsi="Times New Roman"/>
          <w:lang w:val="bg-BG"/>
        </w:rPr>
        <w:t>р</w:t>
      </w:r>
      <w:r w:rsidR="00354FDD" w:rsidRPr="00E06FA7">
        <w:rPr>
          <w:rFonts w:ascii="Times New Roman" w:hAnsi="Times New Roman"/>
          <w:lang w:val="ru-RU"/>
        </w:rPr>
        <w:t>еинтегрира</w:t>
      </w:r>
      <w:r w:rsidR="001E26CA">
        <w:rPr>
          <w:rFonts w:ascii="Times New Roman" w:hAnsi="Times New Roman"/>
          <w:lang w:val="ru-RU"/>
        </w:rPr>
        <w:t>на (</w:t>
      </w:r>
      <w:r w:rsidR="00146BD0">
        <w:rPr>
          <w:rFonts w:ascii="Times New Roman" w:hAnsi="Times New Roman"/>
          <w:lang w:val="bg-BG"/>
        </w:rPr>
        <w:t>7,565</w:t>
      </w:r>
      <w:r w:rsidR="001E26CA">
        <w:rPr>
          <w:rFonts w:ascii="Times New Roman" w:hAnsi="Times New Roman"/>
          <w:lang w:val="bg-BG"/>
        </w:rPr>
        <w:t xml:space="preserve"> </w:t>
      </w:r>
      <w:r w:rsidR="001E26CA" w:rsidRPr="00E06FA7">
        <w:rPr>
          <w:rFonts w:ascii="Times New Roman" w:hAnsi="Times New Roman"/>
          <w:lang w:val="ru-RU"/>
        </w:rPr>
        <w:t>хил. лв.)</w:t>
      </w:r>
      <w:r w:rsidR="001E26CA">
        <w:rPr>
          <w:rFonts w:ascii="Times New Roman" w:hAnsi="Times New Roman"/>
          <w:lang w:val="ru-RU"/>
        </w:rPr>
        <w:t xml:space="preserve"> </w:t>
      </w:r>
      <w:r w:rsidR="001E26CA">
        <w:rPr>
          <w:rFonts w:ascii="Times New Roman" w:hAnsi="Times New Roman"/>
          <w:lang w:val="bg-BG"/>
        </w:rPr>
        <w:t>и новоначислена (</w:t>
      </w:r>
      <w:r w:rsidR="00146BD0">
        <w:rPr>
          <w:rFonts w:ascii="Times New Roman" w:hAnsi="Times New Roman"/>
          <w:lang w:val="ru-RU"/>
        </w:rPr>
        <w:t>7,065</w:t>
      </w:r>
      <w:r w:rsidR="001E26CA">
        <w:rPr>
          <w:rFonts w:ascii="Times New Roman" w:hAnsi="Times New Roman"/>
          <w:lang w:val="ru-RU"/>
        </w:rPr>
        <w:t xml:space="preserve"> хил.лв.) </w:t>
      </w:r>
      <w:r w:rsidR="0042551F" w:rsidRPr="00E06FA7">
        <w:rPr>
          <w:rFonts w:ascii="Times New Roman" w:hAnsi="Times New Roman"/>
          <w:lang w:val="ru-RU"/>
        </w:rPr>
        <w:t>провизи</w:t>
      </w:r>
      <w:r w:rsidR="001E26CA">
        <w:rPr>
          <w:rFonts w:ascii="Times New Roman" w:hAnsi="Times New Roman"/>
          <w:lang w:val="ru-RU"/>
        </w:rPr>
        <w:t>и</w:t>
      </w:r>
      <w:r w:rsidR="0042551F" w:rsidRPr="00E06FA7">
        <w:rPr>
          <w:rFonts w:ascii="Times New Roman" w:hAnsi="Times New Roman"/>
          <w:lang w:val="ru-RU"/>
        </w:rPr>
        <w:t xml:space="preserve"> за конструктивни задължения към авиопревозвачите съгласно приложимата схема за споделяне на риска</w:t>
      </w:r>
      <w:r w:rsidR="001E26CA">
        <w:rPr>
          <w:rFonts w:ascii="Times New Roman" w:hAnsi="Times New Roman"/>
          <w:lang w:val="ru-RU"/>
        </w:rPr>
        <w:t xml:space="preserve"> от трафик и от нарастването на разходите за командировки в страната и чужбина</w:t>
      </w:r>
      <w:r w:rsidR="00CA486D">
        <w:rPr>
          <w:rFonts w:ascii="Times New Roman" w:hAnsi="Times New Roman"/>
          <w:lang w:val="ru-RU"/>
        </w:rPr>
        <w:t>.</w:t>
      </w:r>
      <w:r w:rsidR="00A154D2">
        <w:rPr>
          <w:rFonts w:ascii="Times New Roman" w:hAnsi="Times New Roman"/>
          <w:lang w:val="ru-RU"/>
        </w:rPr>
        <w:t xml:space="preserve"> </w:t>
      </w:r>
    </w:p>
    <w:p w:rsidR="00041521" w:rsidRDefault="00881F4A" w:rsidP="00E50F42">
      <w:pPr>
        <w:pStyle w:val="BodyTextIndent2"/>
        <w:spacing w:line="240" w:lineRule="auto"/>
        <w:ind w:left="0" w:firstLine="720"/>
        <w:rPr>
          <w:rFonts w:ascii="Times New Roman" w:hAnsi="Times New Roman"/>
          <w:lang w:eastAsia="x-none"/>
        </w:rPr>
      </w:pPr>
      <w:r w:rsidRPr="00E06FA7">
        <w:rPr>
          <w:rFonts w:ascii="Times New Roman" w:hAnsi="Times New Roman"/>
          <w:lang w:eastAsia="x-none"/>
        </w:rPr>
        <w:t xml:space="preserve">Доколкото ситуацията в РПИ Симферопол и РПИ Днепропетровск се запазва, може да се очаква увеличение на обслужвания трафик над прогнозата, заложена в </w:t>
      </w:r>
      <w:r w:rsidR="0094453B">
        <w:rPr>
          <w:rFonts w:ascii="Times New Roman" w:hAnsi="Times New Roman"/>
          <w:lang w:eastAsia="x-none"/>
        </w:rPr>
        <w:t>ПЕ</w:t>
      </w:r>
      <w:r w:rsidRPr="00E06FA7">
        <w:rPr>
          <w:rFonts w:ascii="Times New Roman" w:hAnsi="Times New Roman"/>
          <w:lang w:eastAsia="x-none"/>
        </w:rPr>
        <w:t xml:space="preserve"> на ФБВП Дунав за </w:t>
      </w:r>
      <w:r w:rsidR="0094453B">
        <w:rPr>
          <w:rFonts w:ascii="Times New Roman" w:hAnsi="Times New Roman"/>
          <w:lang w:eastAsia="x-none"/>
        </w:rPr>
        <w:t>РП2</w:t>
      </w:r>
      <w:r w:rsidRPr="00E06FA7">
        <w:rPr>
          <w:rFonts w:ascii="Times New Roman" w:hAnsi="Times New Roman"/>
          <w:lang w:eastAsia="x-none"/>
        </w:rPr>
        <w:t xml:space="preserve">. В тази връзка е инициирана промяна на </w:t>
      </w:r>
      <w:r w:rsidR="0094453B">
        <w:rPr>
          <w:rFonts w:ascii="Times New Roman" w:hAnsi="Times New Roman"/>
          <w:lang w:eastAsia="x-none"/>
        </w:rPr>
        <w:t>ПЕ</w:t>
      </w:r>
      <w:r w:rsidR="009C5D5E" w:rsidRPr="00E06FA7">
        <w:rPr>
          <w:rFonts w:ascii="Times New Roman" w:hAnsi="Times New Roman"/>
          <w:lang w:eastAsia="x-none"/>
        </w:rPr>
        <w:t xml:space="preserve"> за РП2.</w:t>
      </w:r>
      <w:r w:rsidRPr="00E06FA7">
        <w:rPr>
          <w:rFonts w:ascii="Times New Roman" w:hAnsi="Times New Roman"/>
          <w:lang w:eastAsia="x-none"/>
        </w:rPr>
        <w:t xml:space="preserve"> </w:t>
      </w:r>
      <w:r w:rsidR="009C5D5E" w:rsidRPr="00E06FA7">
        <w:rPr>
          <w:rFonts w:ascii="Times New Roman" w:hAnsi="Times New Roman"/>
          <w:lang w:eastAsia="x-none"/>
        </w:rPr>
        <w:t>Преговорният процес, продължил близо две години, е финализиран успешно</w:t>
      </w:r>
      <w:r w:rsidR="00E06FA7" w:rsidRPr="008225FD">
        <w:rPr>
          <w:rFonts w:ascii="Times New Roman" w:hAnsi="Times New Roman"/>
          <w:lang w:eastAsia="x-none"/>
        </w:rPr>
        <w:t xml:space="preserve">, като </w:t>
      </w:r>
      <w:r w:rsidR="00EB64CA">
        <w:rPr>
          <w:rFonts w:ascii="Times New Roman" w:hAnsi="Times New Roman"/>
          <w:lang w:eastAsia="x-none"/>
        </w:rPr>
        <w:t xml:space="preserve">със съответните решения, публикувани официално през м. 10.2017 г. и м. 12.2017 г. </w:t>
      </w:r>
      <w:r w:rsidR="0085208F">
        <w:rPr>
          <w:rFonts w:ascii="Times New Roman" w:hAnsi="Times New Roman"/>
          <w:lang w:eastAsia="x-none"/>
        </w:rPr>
        <w:t xml:space="preserve">бе разрешена ревизията на ПЕ за РП2 и бе </w:t>
      </w:r>
      <w:r w:rsidR="008225FD" w:rsidRPr="008225FD">
        <w:rPr>
          <w:rFonts w:ascii="Times New Roman" w:hAnsi="Times New Roman"/>
          <w:lang w:eastAsia="x-none"/>
        </w:rPr>
        <w:t xml:space="preserve">постановено, че преразгледаните цели на България за 2017 г., 2018 г. и 2019 г. </w:t>
      </w:r>
      <w:r w:rsidR="00D14B53">
        <w:rPr>
          <w:rFonts w:ascii="Times New Roman" w:hAnsi="Times New Roman"/>
          <w:lang w:eastAsia="x-none"/>
        </w:rPr>
        <w:t xml:space="preserve">допринасят адекватно за постигане на </w:t>
      </w:r>
      <w:r w:rsidR="008225FD" w:rsidRPr="008225FD">
        <w:rPr>
          <w:rFonts w:ascii="Times New Roman" w:hAnsi="Times New Roman"/>
          <w:lang w:eastAsia="x-none"/>
        </w:rPr>
        <w:t xml:space="preserve">валидните за целия </w:t>
      </w:r>
      <w:r w:rsidR="00CB651A">
        <w:rPr>
          <w:rFonts w:ascii="Times New Roman" w:hAnsi="Times New Roman"/>
          <w:lang w:eastAsia="x-none"/>
        </w:rPr>
        <w:t>Европейски с</w:t>
      </w:r>
      <w:r w:rsidR="008225FD" w:rsidRPr="008225FD">
        <w:rPr>
          <w:rFonts w:ascii="Times New Roman" w:hAnsi="Times New Roman"/>
          <w:lang w:eastAsia="x-none"/>
        </w:rPr>
        <w:t xml:space="preserve">ъюз цели </w:t>
      </w:r>
      <w:r w:rsidR="0073145C">
        <w:rPr>
          <w:rFonts w:ascii="Times New Roman" w:hAnsi="Times New Roman"/>
          <w:lang w:eastAsia="x-none"/>
        </w:rPr>
        <w:t xml:space="preserve">за </w:t>
      </w:r>
      <w:r w:rsidR="0073145C" w:rsidRPr="008225FD">
        <w:rPr>
          <w:rFonts w:ascii="Times New Roman" w:hAnsi="Times New Roman"/>
          <w:lang w:eastAsia="x-none"/>
        </w:rPr>
        <w:t xml:space="preserve">втория референтен период </w:t>
      </w:r>
      <w:r w:rsidR="008225FD" w:rsidRPr="008225FD">
        <w:rPr>
          <w:rFonts w:ascii="Times New Roman" w:hAnsi="Times New Roman"/>
          <w:lang w:eastAsia="x-none"/>
        </w:rPr>
        <w:t>за ключовата област „</w:t>
      </w:r>
      <w:r w:rsidR="001F4118">
        <w:rPr>
          <w:rFonts w:ascii="Times New Roman" w:hAnsi="Times New Roman"/>
          <w:lang w:eastAsia="x-none"/>
        </w:rPr>
        <w:t>Е</w:t>
      </w:r>
      <w:r w:rsidR="008225FD" w:rsidRPr="008225FD">
        <w:rPr>
          <w:rFonts w:ascii="Times New Roman" w:hAnsi="Times New Roman"/>
          <w:lang w:eastAsia="x-none"/>
        </w:rPr>
        <w:t>фективност на разходите“.</w:t>
      </w:r>
    </w:p>
    <w:p w:rsidR="00532876" w:rsidRDefault="00532876" w:rsidP="00E50F42">
      <w:pPr>
        <w:pStyle w:val="BodyTextIndent2"/>
        <w:spacing w:line="240" w:lineRule="auto"/>
        <w:ind w:left="0" w:firstLine="720"/>
        <w:rPr>
          <w:rFonts w:ascii="Times New Roman" w:hAnsi="Times New Roman"/>
          <w:lang w:eastAsia="x-none"/>
        </w:rPr>
      </w:pPr>
    </w:p>
    <w:p w:rsidR="006909C6" w:rsidRDefault="006909C6" w:rsidP="00E50F42">
      <w:pPr>
        <w:pStyle w:val="BodyTextIndent2"/>
        <w:spacing w:line="240" w:lineRule="auto"/>
        <w:ind w:left="0" w:firstLine="720"/>
        <w:rPr>
          <w:rFonts w:ascii="Times New Roman" w:hAnsi="Times New Roman"/>
          <w:lang w:eastAsia="x-none"/>
        </w:rPr>
      </w:pPr>
    </w:p>
    <w:p w:rsidR="00811CDB" w:rsidRPr="00B9483C" w:rsidRDefault="00CE14E1" w:rsidP="0068559E">
      <w:pPr>
        <w:ind w:right="-24" w:firstLine="709"/>
        <w:jc w:val="both"/>
        <w:rPr>
          <w:i/>
          <w:lang w:val="en-US"/>
        </w:rPr>
      </w:pPr>
      <w:r>
        <w:rPr>
          <w:i/>
          <w:lang w:val="ru-RU"/>
        </w:rPr>
        <w:lastRenderedPageBreak/>
        <w:t>5</w:t>
      </w:r>
      <w:r w:rsidR="00811CDB" w:rsidRPr="00B9483C">
        <w:rPr>
          <w:i/>
        </w:rPr>
        <w:t>.4. Разходи за амортизация (</w:t>
      </w:r>
      <w:r w:rsidR="00CE5EC7">
        <w:rPr>
          <w:i/>
        </w:rPr>
        <w:t>+</w:t>
      </w:r>
      <w:r w:rsidR="00CB53C7">
        <w:rPr>
          <w:i/>
          <w:lang w:val="en-US"/>
        </w:rPr>
        <w:t>1,</w:t>
      </w:r>
      <w:r w:rsidR="00D60AFA">
        <w:rPr>
          <w:i/>
          <w:lang w:val="en-US"/>
        </w:rPr>
        <w:t>794</w:t>
      </w:r>
      <w:r w:rsidR="00EE66DE">
        <w:rPr>
          <w:i/>
        </w:rPr>
        <w:t xml:space="preserve"> </w:t>
      </w:r>
      <w:r w:rsidR="00595C80" w:rsidRPr="00B9483C">
        <w:rPr>
          <w:i/>
        </w:rPr>
        <w:t>хил. лв.)</w:t>
      </w:r>
    </w:p>
    <w:p w:rsidR="00CB651A" w:rsidRDefault="009713A5" w:rsidP="008A32A9">
      <w:pPr>
        <w:ind w:right="-24" w:firstLine="708"/>
        <w:jc w:val="both"/>
        <w:rPr>
          <w:lang w:val="ru-RU"/>
        </w:rPr>
      </w:pPr>
      <w:r w:rsidRPr="00295754">
        <w:t xml:space="preserve">Няма </w:t>
      </w:r>
      <w:r w:rsidR="00D705D8" w:rsidRPr="00295754">
        <w:t xml:space="preserve">съществено </w:t>
      </w:r>
      <w:r w:rsidRPr="00295754">
        <w:t xml:space="preserve">изменение на разходите за амортизации в сравнение със заложеното в плана. </w:t>
      </w:r>
      <w:r w:rsidR="00811CDB" w:rsidRPr="00295754">
        <w:rPr>
          <w:lang w:val="ru-RU"/>
        </w:rPr>
        <w:t>Разходите за амортизация следват развитието на инвестиционния цикъл на предприятието.</w:t>
      </w:r>
    </w:p>
    <w:p w:rsidR="0019071F" w:rsidRDefault="0019071F" w:rsidP="008A32A9">
      <w:pPr>
        <w:ind w:right="-24" w:firstLine="708"/>
        <w:jc w:val="both"/>
        <w:rPr>
          <w:lang w:val="en-US"/>
        </w:rPr>
      </w:pPr>
    </w:p>
    <w:p w:rsidR="00811CDB" w:rsidRPr="00B9483C" w:rsidRDefault="00CE14E1" w:rsidP="0068559E">
      <w:pPr>
        <w:ind w:right="-24" w:firstLine="709"/>
        <w:jc w:val="both"/>
        <w:rPr>
          <w:i/>
          <w:lang w:val="ru-RU"/>
        </w:rPr>
      </w:pPr>
      <w:r>
        <w:rPr>
          <w:i/>
          <w:lang w:val="ru-RU"/>
        </w:rPr>
        <w:t>5</w:t>
      </w:r>
      <w:r w:rsidR="00811CDB" w:rsidRPr="00B9483C">
        <w:rPr>
          <w:i/>
          <w:lang w:val="ru-RU"/>
        </w:rPr>
        <w:t>.5. Разходи за възнаграждения, с</w:t>
      </w:r>
      <w:r w:rsidR="00286427" w:rsidRPr="00B9483C">
        <w:rPr>
          <w:i/>
          <w:lang w:val="ru-RU"/>
        </w:rPr>
        <w:t>оци</w:t>
      </w:r>
      <w:r w:rsidR="004D156A" w:rsidRPr="00B9483C">
        <w:rPr>
          <w:i/>
          <w:lang w:val="ru-RU"/>
        </w:rPr>
        <w:t>ални оси</w:t>
      </w:r>
      <w:r w:rsidR="00062889" w:rsidRPr="00B9483C">
        <w:rPr>
          <w:i/>
          <w:lang w:val="ru-RU"/>
        </w:rPr>
        <w:t>гуровки и надбавки (+</w:t>
      </w:r>
      <w:r w:rsidR="00D60AFA">
        <w:rPr>
          <w:i/>
          <w:lang w:val="en-US"/>
        </w:rPr>
        <w:t>7,569</w:t>
      </w:r>
      <w:r w:rsidR="002D3FA8" w:rsidRPr="00B9483C">
        <w:rPr>
          <w:i/>
        </w:rPr>
        <w:t xml:space="preserve"> </w:t>
      </w:r>
      <w:r w:rsidR="00811CDB" w:rsidRPr="00B9483C">
        <w:rPr>
          <w:i/>
          <w:lang w:val="ru-RU"/>
        </w:rPr>
        <w:t>хил. лв.)</w:t>
      </w:r>
    </w:p>
    <w:p w:rsidR="003D4799" w:rsidRPr="00D17659" w:rsidRDefault="00811CDB" w:rsidP="00D17659">
      <w:pPr>
        <w:ind w:right="-24" w:firstLine="708"/>
        <w:jc w:val="both"/>
        <w:rPr>
          <w:lang w:val="en-US"/>
        </w:rPr>
      </w:pPr>
      <w:r w:rsidRPr="00B9483C">
        <w:rPr>
          <w:lang w:val="ru-RU"/>
        </w:rPr>
        <w:t xml:space="preserve">Спрямо предходната година </w:t>
      </w:r>
      <w:r w:rsidR="00062889" w:rsidRPr="00B9483C">
        <w:rPr>
          <w:lang w:val="ru-RU"/>
        </w:rPr>
        <w:t>увеличението</w:t>
      </w:r>
      <w:r w:rsidRPr="00B9483C">
        <w:rPr>
          <w:lang w:val="ru-RU"/>
        </w:rPr>
        <w:t xml:space="preserve"> на тези разходи е с </w:t>
      </w:r>
      <w:r w:rsidR="00CB630D">
        <w:rPr>
          <w:lang w:val="en-US"/>
        </w:rPr>
        <w:t>7.</w:t>
      </w:r>
      <w:r w:rsidR="00D60AFA">
        <w:rPr>
          <w:lang w:val="en-US"/>
        </w:rPr>
        <w:t>46</w:t>
      </w:r>
      <w:r w:rsidR="001F5A93">
        <w:rPr>
          <w:lang w:val="ru-RU"/>
        </w:rPr>
        <w:t xml:space="preserve">%, което се дължи </w:t>
      </w:r>
      <w:r w:rsidR="00EB69F8" w:rsidRPr="00B9483C">
        <w:rPr>
          <w:lang w:val="ru-RU"/>
        </w:rPr>
        <w:t xml:space="preserve">на </w:t>
      </w:r>
      <w:r w:rsidRPr="00B9483C">
        <w:rPr>
          <w:lang w:val="ru-RU"/>
        </w:rPr>
        <w:t>планирано</w:t>
      </w:r>
      <w:r w:rsidR="00851CC3" w:rsidRPr="00B9483C">
        <w:rPr>
          <w:lang w:val="ru-RU"/>
        </w:rPr>
        <w:t>то</w:t>
      </w:r>
      <w:r w:rsidRPr="00B9483C">
        <w:rPr>
          <w:lang w:val="ru-RU"/>
        </w:rPr>
        <w:t xml:space="preserve"> изменение на общата сума на възнагражденията</w:t>
      </w:r>
      <w:r w:rsidR="00C21F7D">
        <w:t xml:space="preserve"> и изменението на размера на осигурителните вноски от началото на 201</w:t>
      </w:r>
      <w:r w:rsidR="00211C7A">
        <w:t>8</w:t>
      </w:r>
      <w:r w:rsidR="00C21F7D">
        <w:t xml:space="preserve"> г.</w:t>
      </w:r>
    </w:p>
    <w:p w:rsidR="00881AB4" w:rsidRDefault="00811CDB" w:rsidP="00D17659">
      <w:pPr>
        <w:ind w:right="-24" w:firstLine="708"/>
        <w:jc w:val="both"/>
      </w:pPr>
      <w:r w:rsidRPr="003A40F0">
        <w:rPr>
          <w:lang w:val="ru-RU"/>
        </w:rPr>
        <w:t>За разглеждания период</w:t>
      </w:r>
      <w:r w:rsidR="00916953" w:rsidRPr="003A40F0">
        <w:rPr>
          <w:lang w:val="ru-RU"/>
        </w:rPr>
        <w:t>,</w:t>
      </w:r>
      <w:r w:rsidRPr="003A40F0">
        <w:rPr>
          <w:lang w:val="ru-RU"/>
        </w:rPr>
        <w:t xml:space="preserve"> разходите по икономически елементи са по-</w:t>
      </w:r>
      <w:r w:rsidR="00B5664C">
        <w:rPr>
          <w:lang w:val="ru-RU"/>
        </w:rPr>
        <w:t>ниски</w:t>
      </w:r>
      <w:r w:rsidRPr="003A40F0">
        <w:rPr>
          <w:lang w:val="ru-RU"/>
        </w:rPr>
        <w:t xml:space="preserve"> от </w:t>
      </w:r>
      <w:r w:rsidR="00916953" w:rsidRPr="003A40F0">
        <w:rPr>
          <w:lang w:val="ru-RU"/>
        </w:rPr>
        <w:t xml:space="preserve">заложената разходна рамка на финансовия план с </w:t>
      </w:r>
      <w:r w:rsidR="00D60AFA">
        <w:rPr>
          <w:lang w:val="en-US"/>
        </w:rPr>
        <w:t>9,386</w:t>
      </w:r>
      <w:r w:rsidR="00B80E28" w:rsidRPr="003A40F0">
        <w:t xml:space="preserve"> </w:t>
      </w:r>
      <w:r w:rsidR="006D1057" w:rsidRPr="003A40F0">
        <w:rPr>
          <w:lang w:val="ru-RU"/>
        </w:rPr>
        <w:t xml:space="preserve">хил. лв., </w:t>
      </w:r>
      <w:r w:rsidR="00916953" w:rsidRPr="003A40F0">
        <w:rPr>
          <w:lang w:val="ru-RU"/>
        </w:rPr>
        <w:t>или с</w:t>
      </w:r>
      <w:r w:rsidR="006D1057" w:rsidRPr="003A40F0">
        <w:rPr>
          <w:lang w:val="ru-RU"/>
        </w:rPr>
        <w:t xml:space="preserve"> </w:t>
      </w:r>
      <w:r w:rsidR="00D60AFA">
        <w:rPr>
          <w:lang w:val="en-US"/>
        </w:rPr>
        <w:t>6.80</w:t>
      </w:r>
      <w:r w:rsidRPr="003A40F0">
        <w:rPr>
          <w:lang w:val="ru-RU"/>
        </w:rPr>
        <w:t xml:space="preserve">% </w:t>
      </w:r>
      <w:r w:rsidR="00B5664C">
        <w:t>по-малко</w:t>
      </w:r>
      <w:r w:rsidR="00D72FF0">
        <w:t>.</w:t>
      </w:r>
    </w:p>
    <w:p w:rsidR="004C79EF" w:rsidRPr="00D17659" w:rsidRDefault="004C79EF" w:rsidP="00D17659">
      <w:pPr>
        <w:ind w:right="-24" w:firstLine="708"/>
        <w:jc w:val="both"/>
        <w:rPr>
          <w:lang w:val="en-US"/>
        </w:rPr>
      </w:pPr>
    </w:p>
    <w:p w:rsidR="002C166A" w:rsidRDefault="00811CDB" w:rsidP="00441A72">
      <w:pPr>
        <w:ind w:right="-24" w:firstLine="708"/>
        <w:jc w:val="both"/>
        <w:rPr>
          <w:lang w:val="ru-RU"/>
        </w:rPr>
      </w:pPr>
      <w:r w:rsidRPr="00F30CC4">
        <w:rPr>
          <w:lang w:val="ru-RU"/>
        </w:rPr>
        <w:t>Характерно за дейността на ДП РВД е ясно изразеното сезонно колебание на обслужваните въздухоплава</w:t>
      </w:r>
      <w:r w:rsidR="003E2113" w:rsidRPr="00F30CC4">
        <w:rPr>
          <w:lang w:val="ru-RU"/>
        </w:rPr>
        <w:t>телни средства, тъй като трафикът</w:t>
      </w:r>
      <w:r w:rsidRPr="00F30CC4">
        <w:rPr>
          <w:lang w:val="ru-RU"/>
        </w:rPr>
        <w:t xml:space="preserve"> през летните месеци се увеличава двойно. По отношение на разпределянето на трафика през годината, около 4</w:t>
      </w:r>
      <w:r w:rsidR="00770B59">
        <w:rPr>
          <w:lang w:val="ru-RU"/>
        </w:rPr>
        <w:t>0-4</w:t>
      </w:r>
      <w:r w:rsidR="00C21F7D">
        <w:rPr>
          <w:lang w:val="ru-RU"/>
        </w:rPr>
        <w:t>5</w:t>
      </w:r>
      <w:r w:rsidRPr="00F30CC4">
        <w:rPr>
          <w:lang w:val="ru-RU"/>
        </w:rPr>
        <w:t xml:space="preserve">% от ВС се обслужват през първото полугодие, а </w:t>
      </w:r>
      <w:r w:rsidR="00C21F7D">
        <w:rPr>
          <w:lang w:val="ru-RU"/>
        </w:rPr>
        <w:t>55</w:t>
      </w:r>
      <w:r w:rsidR="00770B59">
        <w:rPr>
          <w:lang w:val="ru-RU"/>
        </w:rPr>
        <w:t>-60</w:t>
      </w:r>
      <w:r w:rsidRPr="00F30CC4">
        <w:rPr>
          <w:lang w:val="ru-RU"/>
        </w:rPr>
        <w:t>% през второто. Във връзка с колебанието на трафика разпределението на приходите през годината е неравномерно, докато разходите са сравнително равномерно разпределени</w:t>
      </w:r>
      <w:r w:rsidR="00851CC3" w:rsidRPr="00F30CC4">
        <w:rPr>
          <w:lang w:val="ru-RU"/>
        </w:rPr>
        <w:t xml:space="preserve"> през годината</w:t>
      </w:r>
      <w:r w:rsidRPr="00F30CC4">
        <w:rPr>
          <w:lang w:val="ru-RU"/>
        </w:rPr>
        <w:t>, с изключение на тези, които се правят във връзка с приключването на съответната финансова година.</w:t>
      </w:r>
      <w:r w:rsidRPr="002A3EAD">
        <w:rPr>
          <w:lang w:val="ru-RU"/>
        </w:rPr>
        <w:t xml:space="preserve"> </w:t>
      </w:r>
    </w:p>
    <w:p w:rsidR="00ED6353" w:rsidRPr="00966DCA" w:rsidRDefault="00ED6353" w:rsidP="00441A72">
      <w:pPr>
        <w:ind w:right="-24" w:firstLine="708"/>
        <w:jc w:val="both"/>
        <w:rPr>
          <w:lang w:val="ru-RU"/>
        </w:rPr>
      </w:pPr>
    </w:p>
    <w:tbl>
      <w:tblPr>
        <w:tblW w:w="1015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9"/>
        <w:gridCol w:w="1349"/>
        <w:gridCol w:w="1290"/>
        <w:gridCol w:w="983"/>
        <w:gridCol w:w="2377"/>
        <w:gridCol w:w="976"/>
      </w:tblGrid>
      <w:tr w:rsidR="00811CDB" w:rsidRPr="002A3EAD" w:rsidTr="00441A72">
        <w:trPr>
          <w:trHeight w:val="1009"/>
        </w:trPr>
        <w:tc>
          <w:tcPr>
            <w:tcW w:w="3179" w:type="dxa"/>
            <w:vAlign w:val="center"/>
          </w:tcPr>
          <w:p w:rsidR="00811CDB" w:rsidRPr="00683D43" w:rsidRDefault="00811CDB" w:rsidP="00C7572A">
            <w:pPr>
              <w:pStyle w:val="Heading1"/>
              <w:jc w:val="center"/>
              <w:rPr>
                <w:rFonts w:ascii="Times New Roman" w:hAnsi="Times New Roman"/>
                <w:sz w:val="24"/>
              </w:rPr>
            </w:pPr>
            <w:r w:rsidRPr="00683D43">
              <w:rPr>
                <w:rFonts w:ascii="Times New Roman" w:hAnsi="Times New Roman"/>
                <w:sz w:val="24"/>
              </w:rPr>
              <w:t>ПОКАЗАТЕЛИ</w:t>
            </w:r>
          </w:p>
        </w:tc>
        <w:tc>
          <w:tcPr>
            <w:tcW w:w="0" w:type="auto"/>
            <w:vAlign w:val="center"/>
          </w:tcPr>
          <w:p w:rsidR="00811CDB" w:rsidRPr="00683D43" w:rsidRDefault="00811CDB" w:rsidP="00C7572A">
            <w:pPr>
              <w:jc w:val="center"/>
              <w:rPr>
                <w:b/>
              </w:rPr>
            </w:pPr>
            <w:r w:rsidRPr="00683D43">
              <w:rPr>
                <w:b/>
              </w:rPr>
              <w:t>отчетен период</w:t>
            </w:r>
          </w:p>
          <w:p w:rsidR="00811CDB" w:rsidRPr="00683D43" w:rsidRDefault="00811CDB" w:rsidP="00C7572A">
            <w:pPr>
              <w:jc w:val="center"/>
              <w:rPr>
                <w:b/>
              </w:rPr>
            </w:pPr>
          </w:p>
        </w:tc>
        <w:tc>
          <w:tcPr>
            <w:tcW w:w="0" w:type="auto"/>
            <w:vAlign w:val="center"/>
          </w:tcPr>
          <w:p w:rsidR="00811CDB" w:rsidRPr="00683D43" w:rsidRDefault="003D3A5F" w:rsidP="00F21A94">
            <w:pPr>
              <w:jc w:val="center"/>
              <w:rPr>
                <w:b/>
              </w:rPr>
            </w:pPr>
            <w:r w:rsidRPr="00683D43">
              <w:rPr>
                <w:b/>
              </w:rPr>
              <w:t xml:space="preserve">ГФП    </w:t>
            </w:r>
            <w:r w:rsidR="00811CDB" w:rsidRPr="00683D43">
              <w:rPr>
                <w:b/>
              </w:rPr>
              <w:t>201</w:t>
            </w:r>
            <w:r w:rsidR="00AD019E">
              <w:rPr>
                <w:b/>
              </w:rPr>
              <w:t>8</w:t>
            </w:r>
            <w:r w:rsidR="00E443F4" w:rsidRPr="00683D43">
              <w:rPr>
                <w:b/>
                <w:lang w:val="en-US"/>
              </w:rPr>
              <w:t xml:space="preserve"> </w:t>
            </w:r>
            <w:r w:rsidR="00C64B3C" w:rsidRPr="00683D43">
              <w:rPr>
                <w:b/>
              </w:rPr>
              <w:t>г.</w:t>
            </w:r>
          </w:p>
        </w:tc>
        <w:tc>
          <w:tcPr>
            <w:tcW w:w="983" w:type="dxa"/>
            <w:vAlign w:val="center"/>
          </w:tcPr>
          <w:p w:rsidR="00811CDB" w:rsidRPr="00683D43" w:rsidRDefault="00811CDB" w:rsidP="00C7572A">
            <w:pPr>
              <w:jc w:val="center"/>
              <w:rPr>
                <w:b/>
              </w:rPr>
            </w:pPr>
            <w:r w:rsidRPr="00683D43">
              <w:rPr>
                <w:b/>
              </w:rPr>
              <w:t>1/2 (%)</w:t>
            </w:r>
          </w:p>
        </w:tc>
        <w:tc>
          <w:tcPr>
            <w:tcW w:w="2377" w:type="dxa"/>
            <w:vAlign w:val="center"/>
          </w:tcPr>
          <w:p w:rsidR="00811CDB" w:rsidRPr="00683D43" w:rsidRDefault="00811CDB" w:rsidP="00F21A94">
            <w:pPr>
              <w:jc w:val="center"/>
              <w:rPr>
                <w:b/>
              </w:rPr>
            </w:pPr>
            <w:r w:rsidRPr="00683D43">
              <w:rPr>
                <w:b/>
              </w:rPr>
              <w:t>съответ</w:t>
            </w:r>
            <w:r w:rsidR="002B1694" w:rsidRPr="00683D43">
              <w:rPr>
                <w:b/>
              </w:rPr>
              <w:t xml:space="preserve">ен период на предходна година </w:t>
            </w:r>
          </w:p>
        </w:tc>
        <w:tc>
          <w:tcPr>
            <w:tcW w:w="976" w:type="dxa"/>
            <w:vAlign w:val="center"/>
          </w:tcPr>
          <w:p w:rsidR="00811CDB" w:rsidRPr="00683D43" w:rsidRDefault="00811CDB" w:rsidP="00C7572A">
            <w:pPr>
              <w:jc w:val="center"/>
              <w:rPr>
                <w:b/>
              </w:rPr>
            </w:pPr>
            <w:r w:rsidRPr="00683D43">
              <w:rPr>
                <w:b/>
              </w:rPr>
              <w:t>1/3 (%)</w:t>
            </w:r>
          </w:p>
        </w:tc>
      </w:tr>
      <w:tr w:rsidR="0083788D" w:rsidRPr="002A3EAD" w:rsidTr="0083788D">
        <w:trPr>
          <w:trHeight w:val="263"/>
        </w:trPr>
        <w:tc>
          <w:tcPr>
            <w:tcW w:w="3179" w:type="dxa"/>
            <w:vAlign w:val="bottom"/>
          </w:tcPr>
          <w:p w:rsidR="0083788D" w:rsidRPr="00CB6EF8" w:rsidRDefault="0083788D" w:rsidP="0083788D">
            <w:r w:rsidRPr="00CB6EF8">
              <w:t>Обслужени полети</w:t>
            </w:r>
          </w:p>
        </w:tc>
        <w:tc>
          <w:tcPr>
            <w:tcW w:w="0" w:type="auto"/>
            <w:shd w:val="clear" w:color="auto" w:fill="auto"/>
            <w:vAlign w:val="bottom"/>
          </w:tcPr>
          <w:p w:rsidR="0083788D" w:rsidRPr="0083788D" w:rsidRDefault="0083788D" w:rsidP="0083788D">
            <w:pPr>
              <w:jc w:val="right"/>
              <w:rPr>
                <w:lang w:eastAsia="bg-BG"/>
              </w:rPr>
            </w:pPr>
            <w:r w:rsidRPr="0083788D">
              <w:t>682,324</w:t>
            </w:r>
          </w:p>
        </w:tc>
        <w:tc>
          <w:tcPr>
            <w:tcW w:w="0" w:type="auto"/>
            <w:shd w:val="clear" w:color="auto" w:fill="auto"/>
            <w:vAlign w:val="bottom"/>
          </w:tcPr>
          <w:p w:rsidR="0083788D" w:rsidRPr="0083788D" w:rsidRDefault="0083788D" w:rsidP="0083788D">
            <w:pPr>
              <w:jc w:val="right"/>
            </w:pPr>
            <w:r w:rsidRPr="0083788D">
              <w:t>682,321</w:t>
            </w:r>
          </w:p>
        </w:tc>
        <w:tc>
          <w:tcPr>
            <w:tcW w:w="983" w:type="dxa"/>
            <w:shd w:val="clear" w:color="auto" w:fill="auto"/>
            <w:vAlign w:val="bottom"/>
          </w:tcPr>
          <w:p w:rsidR="0083788D" w:rsidRPr="0083788D" w:rsidRDefault="0083788D" w:rsidP="0083788D">
            <w:pPr>
              <w:jc w:val="right"/>
            </w:pPr>
            <w:r w:rsidRPr="0083788D">
              <w:t>0.0%</w:t>
            </w:r>
          </w:p>
        </w:tc>
        <w:tc>
          <w:tcPr>
            <w:tcW w:w="2377" w:type="dxa"/>
            <w:shd w:val="clear" w:color="auto" w:fill="auto"/>
            <w:vAlign w:val="bottom"/>
          </w:tcPr>
          <w:p w:rsidR="0083788D" w:rsidRPr="0083788D" w:rsidRDefault="0083788D" w:rsidP="0083788D">
            <w:pPr>
              <w:jc w:val="right"/>
            </w:pPr>
            <w:r w:rsidRPr="0083788D">
              <w:t>610,907</w:t>
            </w:r>
          </w:p>
        </w:tc>
        <w:tc>
          <w:tcPr>
            <w:tcW w:w="976" w:type="dxa"/>
            <w:shd w:val="clear" w:color="auto" w:fill="auto"/>
            <w:vAlign w:val="bottom"/>
          </w:tcPr>
          <w:p w:rsidR="0083788D" w:rsidRPr="0083788D" w:rsidRDefault="0083788D" w:rsidP="0083788D">
            <w:pPr>
              <w:jc w:val="right"/>
            </w:pPr>
            <w:r w:rsidRPr="0083788D">
              <w:t>11.7%</w:t>
            </w:r>
          </w:p>
        </w:tc>
      </w:tr>
      <w:tr w:rsidR="0083788D" w:rsidRPr="002A3EAD" w:rsidTr="0083788D">
        <w:trPr>
          <w:trHeight w:val="216"/>
        </w:trPr>
        <w:tc>
          <w:tcPr>
            <w:tcW w:w="3179" w:type="dxa"/>
            <w:vAlign w:val="bottom"/>
          </w:tcPr>
          <w:p w:rsidR="0083788D" w:rsidRPr="00CB6EF8" w:rsidRDefault="0083788D" w:rsidP="0083788D">
            <w:r w:rsidRPr="00CB6EF8">
              <w:t>- вътрешни линии</w:t>
            </w:r>
          </w:p>
        </w:tc>
        <w:tc>
          <w:tcPr>
            <w:tcW w:w="0" w:type="auto"/>
            <w:shd w:val="clear" w:color="auto" w:fill="auto"/>
            <w:vAlign w:val="bottom"/>
          </w:tcPr>
          <w:p w:rsidR="0083788D" w:rsidRPr="0083788D" w:rsidRDefault="0083788D" w:rsidP="0083788D">
            <w:pPr>
              <w:jc w:val="right"/>
            </w:pPr>
            <w:r w:rsidRPr="0083788D">
              <w:t>12,506</w:t>
            </w:r>
          </w:p>
        </w:tc>
        <w:tc>
          <w:tcPr>
            <w:tcW w:w="0" w:type="auto"/>
            <w:shd w:val="clear" w:color="auto" w:fill="auto"/>
            <w:vAlign w:val="bottom"/>
          </w:tcPr>
          <w:p w:rsidR="0083788D" w:rsidRPr="0083788D" w:rsidRDefault="0083788D" w:rsidP="0083788D">
            <w:pPr>
              <w:jc w:val="right"/>
            </w:pPr>
            <w:r w:rsidRPr="0083788D">
              <w:t>12,273</w:t>
            </w:r>
          </w:p>
        </w:tc>
        <w:tc>
          <w:tcPr>
            <w:tcW w:w="983" w:type="dxa"/>
            <w:shd w:val="clear" w:color="auto" w:fill="auto"/>
            <w:vAlign w:val="bottom"/>
          </w:tcPr>
          <w:p w:rsidR="0083788D" w:rsidRPr="0083788D" w:rsidRDefault="0083788D" w:rsidP="0083788D">
            <w:pPr>
              <w:jc w:val="right"/>
            </w:pPr>
            <w:r w:rsidRPr="0083788D">
              <w:t>1.9%</w:t>
            </w:r>
          </w:p>
        </w:tc>
        <w:tc>
          <w:tcPr>
            <w:tcW w:w="2377" w:type="dxa"/>
            <w:shd w:val="clear" w:color="auto" w:fill="auto"/>
            <w:vAlign w:val="bottom"/>
          </w:tcPr>
          <w:p w:rsidR="0083788D" w:rsidRPr="0083788D" w:rsidRDefault="0083788D" w:rsidP="0083788D">
            <w:pPr>
              <w:jc w:val="right"/>
            </w:pPr>
            <w:r w:rsidRPr="0083788D">
              <w:t>11,389</w:t>
            </w:r>
          </w:p>
        </w:tc>
        <w:tc>
          <w:tcPr>
            <w:tcW w:w="976" w:type="dxa"/>
            <w:shd w:val="clear" w:color="auto" w:fill="auto"/>
            <w:vAlign w:val="bottom"/>
          </w:tcPr>
          <w:p w:rsidR="0083788D" w:rsidRPr="0083788D" w:rsidRDefault="0083788D" w:rsidP="0083788D">
            <w:pPr>
              <w:jc w:val="right"/>
            </w:pPr>
            <w:r w:rsidRPr="0083788D">
              <w:t>9.8%</w:t>
            </w:r>
          </w:p>
        </w:tc>
      </w:tr>
      <w:tr w:rsidR="0083788D" w:rsidRPr="002A3EAD" w:rsidTr="0083788D">
        <w:trPr>
          <w:trHeight w:val="248"/>
        </w:trPr>
        <w:tc>
          <w:tcPr>
            <w:tcW w:w="3179" w:type="dxa"/>
            <w:vAlign w:val="bottom"/>
          </w:tcPr>
          <w:p w:rsidR="0083788D" w:rsidRPr="00CB6EF8" w:rsidRDefault="0083788D" w:rsidP="0083788D">
            <w:r w:rsidRPr="00CB6EF8">
              <w:t>- чисто прелитащи</w:t>
            </w:r>
          </w:p>
        </w:tc>
        <w:tc>
          <w:tcPr>
            <w:tcW w:w="0" w:type="auto"/>
            <w:shd w:val="clear" w:color="auto" w:fill="auto"/>
            <w:vAlign w:val="bottom"/>
          </w:tcPr>
          <w:p w:rsidR="0083788D" w:rsidRPr="0083788D" w:rsidRDefault="0083788D" w:rsidP="0083788D">
            <w:pPr>
              <w:jc w:val="right"/>
            </w:pPr>
            <w:r w:rsidRPr="0083788D">
              <w:t>591,065</w:t>
            </w:r>
          </w:p>
        </w:tc>
        <w:tc>
          <w:tcPr>
            <w:tcW w:w="0" w:type="auto"/>
            <w:shd w:val="clear" w:color="auto" w:fill="auto"/>
            <w:vAlign w:val="bottom"/>
          </w:tcPr>
          <w:p w:rsidR="0083788D" w:rsidRPr="0083788D" w:rsidRDefault="0083788D" w:rsidP="0083788D">
            <w:pPr>
              <w:jc w:val="right"/>
            </w:pPr>
            <w:r w:rsidRPr="0083788D">
              <w:t>591,209</w:t>
            </w:r>
          </w:p>
        </w:tc>
        <w:tc>
          <w:tcPr>
            <w:tcW w:w="983" w:type="dxa"/>
            <w:shd w:val="clear" w:color="auto" w:fill="auto"/>
            <w:vAlign w:val="bottom"/>
          </w:tcPr>
          <w:p w:rsidR="0083788D" w:rsidRPr="0083788D" w:rsidRDefault="0083788D" w:rsidP="0083788D">
            <w:pPr>
              <w:jc w:val="right"/>
            </w:pPr>
            <w:r w:rsidRPr="0083788D">
              <w:t>0.0%</w:t>
            </w:r>
          </w:p>
        </w:tc>
        <w:tc>
          <w:tcPr>
            <w:tcW w:w="2377" w:type="dxa"/>
            <w:shd w:val="clear" w:color="auto" w:fill="auto"/>
            <w:vAlign w:val="bottom"/>
          </w:tcPr>
          <w:p w:rsidR="0083788D" w:rsidRPr="0083788D" w:rsidRDefault="0083788D" w:rsidP="0083788D">
            <w:pPr>
              <w:jc w:val="right"/>
            </w:pPr>
            <w:r w:rsidRPr="0083788D">
              <w:t>526,773</w:t>
            </w:r>
          </w:p>
        </w:tc>
        <w:tc>
          <w:tcPr>
            <w:tcW w:w="976" w:type="dxa"/>
            <w:shd w:val="clear" w:color="auto" w:fill="auto"/>
            <w:vAlign w:val="bottom"/>
          </w:tcPr>
          <w:p w:rsidR="0083788D" w:rsidRPr="0083788D" w:rsidRDefault="0083788D" w:rsidP="0083788D">
            <w:pPr>
              <w:jc w:val="right"/>
            </w:pPr>
            <w:r w:rsidRPr="0083788D">
              <w:t>12.2%</w:t>
            </w:r>
          </w:p>
        </w:tc>
      </w:tr>
      <w:tr w:rsidR="0083788D" w:rsidRPr="002A3EAD" w:rsidTr="0083788D">
        <w:trPr>
          <w:trHeight w:val="248"/>
        </w:trPr>
        <w:tc>
          <w:tcPr>
            <w:tcW w:w="3179" w:type="dxa"/>
            <w:shd w:val="clear" w:color="auto" w:fill="auto"/>
            <w:vAlign w:val="bottom"/>
          </w:tcPr>
          <w:p w:rsidR="0083788D" w:rsidRPr="00CB6EF8" w:rsidRDefault="0083788D" w:rsidP="0083788D">
            <w:r w:rsidRPr="00CB6EF8">
              <w:t>- международни с кацане в България</w:t>
            </w:r>
          </w:p>
        </w:tc>
        <w:tc>
          <w:tcPr>
            <w:tcW w:w="0" w:type="auto"/>
            <w:shd w:val="clear" w:color="auto" w:fill="auto"/>
            <w:vAlign w:val="bottom"/>
          </w:tcPr>
          <w:p w:rsidR="0083788D" w:rsidRPr="0083788D" w:rsidRDefault="0083788D" w:rsidP="0083788D">
            <w:pPr>
              <w:jc w:val="right"/>
            </w:pPr>
            <w:r w:rsidRPr="0083788D">
              <w:t>78,753</w:t>
            </w:r>
          </w:p>
        </w:tc>
        <w:tc>
          <w:tcPr>
            <w:tcW w:w="0" w:type="auto"/>
            <w:shd w:val="clear" w:color="auto" w:fill="auto"/>
            <w:vAlign w:val="bottom"/>
          </w:tcPr>
          <w:p w:rsidR="0083788D" w:rsidRPr="0083788D" w:rsidRDefault="0083788D" w:rsidP="0083788D">
            <w:pPr>
              <w:jc w:val="right"/>
            </w:pPr>
            <w:r w:rsidRPr="0083788D">
              <w:t>78,839</w:t>
            </w:r>
          </w:p>
        </w:tc>
        <w:tc>
          <w:tcPr>
            <w:tcW w:w="983" w:type="dxa"/>
            <w:shd w:val="clear" w:color="auto" w:fill="auto"/>
            <w:vAlign w:val="bottom"/>
          </w:tcPr>
          <w:p w:rsidR="0083788D" w:rsidRPr="0083788D" w:rsidRDefault="0083788D" w:rsidP="0083788D">
            <w:pPr>
              <w:jc w:val="right"/>
            </w:pPr>
            <w:r w:rsidRPr="0083788D">
              <w:t>-0.1%</w:t>
            </w:r>
          </w:p>
        </w:tc>
        <w:tc>
          <w:tcPr>
            <w:tcW w:w="2377" w:type="dxa"/>
            <w:shd w:val="clear" w:color="auto" w:fill="auto"/>
            <w:vAlign w:val="bottom"/>
          </w:tcPr>
          <w:p w:rsidR="0083788D" w:rsidRPr="0083788D" w:rsidRDefault="0083788D" w:rsidP="0083788D">
            <w:pPr>
              <w:jc w:val="right"/>
            </w:pPr>
            <w:r w:rsidRPr="0083788D">
              <w:t>72,745</w:t>
            </w:r>
          </w:p>
        </w:tc>
        <w:tc>
          <w:tcPr>
            <w:tcW w:w="976" w:type="dxa"/>
            <w:shd w:val="clear" w:color="auto" w:fill="auto"/>
            <w:vAlign w:val="bottom"/>
          </w:tcPr>
          <w:p w:rsidR="0083788D" w:rsidRPr="0083788D" w:rsidRDefault="0083788D" w:rsidP="0083788D">
            <w:pPr>
              <w:jc w:val="right"/>
            </w:pPr>
            <w:r w:rsidRPr="0083788D">
              <w:t>8.3%</w:t>
            </w:r>
          </w:p>
        </w:tc>
      </w:tr>
      <w:tr w:rsidR="0083788D" w:rsidRPr="002A3EAD" w:rsidTr="0083788D">
        <w:trPr>
          <w:trHeight w:val="248"/>
        </w:trPr>
        <w:tc>
          <w:tcPr>
            <w:tcW w:w="3179" w:type="dxa"/>
            <w:vAlign w:val="bottom"/>
          </w:tcPr>
          <w:p w:rsidR="0083788D" w:rsidRPr="00CB6EF8" w:rsidRDefault="0083788D" w:rsidP="0083788D">
            <w:pPr>
              <w:pStyle w:val="FootnoteText"/>
              <w:jc w:val="both"/>
              <w:rPr>
                <w:sz w:val="24"/>
                <w:szCs w:val="24"/>
              </w:rPr>
            </w:pPr>
            <w:r w:rsidRPr="00CB6EF8">
              <w:rPr>
                <w:sz w:val="24"/>
                <w:szCs w:val="24"/>
              </w:rPr>
              <w:t xml:space="preserve">Обслужени единици – общо </w:t>
            </w:r>
          </w:p>
        </w:tc>
        <w:tc>
          <w:tcPr>
            <w:tcW w:w="0" w:type="auto"/>
            <w:shd w:val="clear" w:color="auto" w:fill="auto"/>
            <w:vAlign w:val="bottom"/>
          </w:tcPr>
          <w:p w:rsidR="0083788D" w:rsidRPr="0083788D" w:rsidRDefault="0083788D" w:rsidP="0083788D">
            <w:pPr>
              <w:jc w:val="right"/>
            </w:pPr>
            <w:r w:rsidRPr="0083788D">
              <w:t>2,989,670</w:t>
            </w:r>
          </w:p>
        </w:tc>
        <w:tc>
          <w:tcPr>
            <w:tcW w:w="0" w:type="auto"/>
            <w:shd w:val="clear" w:color="auto" w:fill="auto"/>
            <w:vAlign w:val="bottom"/>
          </w:tcPr>
          <w:p w:rsidR="0083788D" w:rsidRPr="0083788D" w:rsidRDefault="0083788D" w:rsidP="0083788D">
            <w:pPr>
              <w:jc w:val="right"/>
            </w:pPr>
            <w:r w:rsidRPr="0083788D">
              <w:t>2,964,223</w:t>
            </w:r>
          </w:p>
        </w:tc>
        <w:tc>
          <w:tcPr>
            <w:tcW w:w="983" w:type="dxa"/>
            <w:shd w:val="clear" w:color="auto" w:fill="auto"/>
            <w:vAlign w:val="bottom"/>
          </w:tcPr>
          <w:p w:rsidR="0083788D" w:rsidRPr="0083788D" w:rsidRDefault="0083788D" w:rsidP="0083788D">
            <w:pPr>
              <w:jc w:val="right"/>
            </w:pPr>
            <w:r w:rsidRPr="0083788D">
              <w:t>0.9%</w:t>
            </w:r>
          </w:p>
        </w:tc>
        <w:tc>
          <w:tcPr>
            <w:tcW w:w="2377" w:type="dxa"/>
            <w:shd w:val="clear" w:color="auto" w:fill="auto"/>
            <w:vAlign w:val="bottom"/>
          </w:tcPr>
          <w:p w:rsidR="0083788D" w:rsidRPr="0083788D" w:rsidRDefault="0083788D" w:rsidP="0083788D">
            <w:pPr>
              <w:jc w:val="right"/>
            </w:pPr>
            <w:r w:rsidRPr="0083788D">
              <w:t>2,665,086</w:t>
            </w:r>
          </w:p>
        </w:tc>
        <w:tc>
          <w:tcPr>
            <w:tcW w:w="976" w:type="dxa"/>
            <w:shd w:val="clear" w:color="auto" w:fill="auto"/>
            <w:vAlign w:val="bottom"/>
          </w:tcPr>
          <w:p w:rsidR="0083788D" w:rsidRPr="0083788D" w:rsidRDefault="0083788D" w:rsidP="0083788D">
            <w:pPr>
              <w:jc w:val="right"/>
            </w:pPr>
            <w:r w:rsidRPr="0083788D">
              <w:t>12.2%</w:t>
            </w:r>
          </w:p>
        </w:tc>
      </w:tr>
      <w:tr w:rsidR="0083788D" w:rsidRPr="002A3EAD" w:rsidTr="0083788D">
        <w:trPr>
          <w:trHeight w:val="248"/>
        </w:trPr>
        <w:tc>
          <w:tcPr>
            <w:tcW w:w="3179" w:type="dxa"/>
            <w:vAlign w:val="bottom"/>
          </w:tcPr>
          <w:p w:rsidR="0083788D" w:rsidRPr="00F667BF" w:rsidRDefault="0083788D" w:rsidP="0083788D">
            <w:pPr>
              <w:rPr>
                <w:color w:val="FF0000"/>
              </w:rPr>
            </w:pPr>
            <w:r w:rsidRPr="00683D43">
              <w:t>Средносписъчен брой на служителите за периода</w:t>
            </w:r>
          </w:p>
        </w:tc>
        <w:tc>
          <w:tcPr>
            <w:tcW w:w="0" w:type="auto"/>
            <w:shd w:val="clear" w:color="auto" w:fill="auto"/>
            <w:vAlign w:val="bottom"/>
          </w:tcPr>
          <w:p w:rsidR="0083788D" w:rsidRPr="0083788D" w:rsidRDefault="0083788D" w:rsidP="0083788D">
            <w:pPr>
              <w:jc w:val="right"/>
            </w:pPr>
            <w:r w:rsidRPr="0083788D">
              <w:t>1,132</w:t>
            </w:r>
          </w:p>
        </w:tc>
        <w:tc>
          <w:tcPr>
            <w:tcW w:w="0" w:type="auto"/>
            <w:shd w:val="clear" w:color="auto" w:fill="auto"/>
            <w:vAlign w:val="bottom"/>
          </w:tcPr>
          <w:p w:rsidR="0083788D" w:rsidRPr="0083788D" w:rsidRDefault="0083788D" w:rsidP="0083788D">
            <w:pPr>
              <w:jc w:val="right"/>
            </w:pPr>
            <w:r w:rsidRPr="0083788D">
              <w:t>1,440</w:t>
            </w:r>
          </w:p>
        </w:tc>
        <w:tc>
          <w:tcPr>
            <w:tcW w:w="983" w:type="dxa"/>
            <w:shd w:val="clear" w:color="auto" w:fill="auto"/>
            <w:vAlign w:val="bottom"/>
          </w:tcPr>
          <w:p w:rsidR="0083788D" w:rsidRPr="0083788D" w:rsidRDefault="0083788D" w:rsidP="0083788D">
            <w:pPr>
              <w:jc w:val="right"/>
            </w:pPr>
            <w:r w:rsidRPr="0083788D">
              <w:t>-21.4%</w:t>
            </w:r>
          </w:p>
        </w:tc>
        <w:tc>
          <w:tcPr>
            <w:tcW w:w="2377" w:type="dxa"/>
            <w:shd w:val="clear" w:color="auto" w:fill="auto"/>
            <w:vAlign w:val="bottom"/>
          </w:tcPr>
          <w:p w:rsidR="0083788D" w:rsidRPr="0083788D" w:rsidRDefault="0083788D" w:rsidP="0083788D">
            <w:pPr>
              <w:jc w:val="right"/>
            </w:pPr>
            <w:r w:rsidRPr="0083788D">
              <w:t>1,087</w:t>
            </w:r>
          </w:p>
        </w:tc>
        <w:tc>
          <w:tcPr>
            <w:tcW w:w="976" w:type="dxa"/>
            <w:shd w:val="clear" w:color="auto" w:fill="auto"/>
            <w:vAlign w:val="bottom"/>
          </w:tcPr>
          <w:p w:rsidR="0083788D" w:rsidRPr="0083788D" w:rsidRDefault="0083788D" w:rsidP="0083788D">
            <w:pPr>
              <w:jc w:val="right"/>
            </w:pPr>
            <w:r w:rsidRPr="0083788D">
              <w:t>4.1%</w:t>
            </w:r>
          </w:p>
        </w:tc>
      </w:tr>
    </w:tbl>
    <w:p w:rsidR="00E56C9A" w:rsidRPr="002A3EAD" w:rsidRDefault="00E56C9A" w:rsidP="00022A9E">
      <w:pPr>
        <w:pStyle w:val="BlockText"/>
        <w:ind w:left="0" w:right="-24" w:firstLine="708"/>
        <w:rPr>
          <w:rFonts w:ascii="Times New Roman" w:hAnsi="Times New Roman"/>
          <w:lang w:val="ru-RU"/>
        </w:rPr>
      </w:pPr>
    </w:p>
    <w:p w:rsidR="005B3108" w:rsidRPr="002A3EAD" w:rsidRDefault="005B3108" w:rsidP="00022A9E">
      <w:pPr>
        <w:pStyle w:val="BlockText"/>
        <w:ind w:left="0" w:right="-24" w:firstLine="708"/>
        <w:rPr>
          <w:rFonts w:ascii="Times New Roman" w:hAnsi="Times New Roman"/>
          <w:lang w:val="ru-RU"/>
        </w:rPr>
      </w:pPr>
      <w:r w:rsidRPr="002A3EAD">
        <w:rPr>
          <w:rFonts w:ascii="Times New Roman" w:hAnsi="Times New Roman"/>
          <w:lang w:val="ru-RU"/>
        </w:rPr>
        <w:t>Обслужените въздухоплавателни средства се разделят на три групи в зависимост от полетите, които извършват във въздушното пространство, обслужвано от ДП РВД:</w:t>
      </w:r>
    </w:p>
    <w:p w:rsidR="005B3108" w:rsidRPr="002A3EAD" w:rsidRDefault="005B3108" w:rsidP="00022A9E">
      <w:pPr>
        <w:pStyle w:val="BodyText"/>
        <w:numPr>
          <w:ilvl w:val="0"/>
          <w:numId w:val="10"/>
        </w:numPr>
        <w:ind w:right="-24"/>
        <w:rPr>
          <w:rFonts w:ascii="Times New Roman" w:hAnsi="Times New Roman"/>
          <w:i w:val="0"/>
          <w:sz w:val="24"/>
        </w:rPr>
      </w:pPr>
      <w:r w:rsidRPr="002A3EAD">
        <w:rPr>
          <w:rFonts w:ascii="Times New Roman" w:hAnsi="Times New Roman"/>
          <w:i w:val="0"/>
          <w:sz w:val="24"/>
        </w:rPr>
        <w:t>чисто прелитащи;</w:t>
      </w:r>
    </w:p>
    <w:p w:rsidR="005B3108" w:rsidRPr="002A3EAD" w:rsidRDefault="005B3108" w:rsidP="00022A9E">
      <w:pPr>
        <w:pStyle w:val="BodyText"/>
        <w:numPr>
          <w:ilvl w:val="0"/>
          <w:numId w:val="10"/>
        </w:numPr>
        <w:ind w:right="-24"/>
        <w:rPr>
          <w:rFonts w:ascii="Times New Roman" w:hAnsi="Times New Roman"/>
          <w:i w:val="0"/>
          <w:sz w:val="24"/>
        </w:rPr>
      </w:pPr>
      <w:r w:rsidRPr="002A3EAD">
        <w:rPr>
          <w:rFonts w:ascii="Times New Roman" w:hAnsi="Times New Roman"/>
          <w:i w:val="0"/>
          <w:sz w:val="24"/>
        </w:rPr>
        <w:t>международни, пристигащи и з</w:t>
      </w:r>
      <w:r w:rsidR="00763111" w:rsidRPr="002A3EAD">
        <w:rPr>
          <w:rFonts w:ascii="Times New Roman" w:hAnsi="Times New Roman"/>
          <w:i w:val="0"/>
          <w:sz w:val="24"/>
        </w:rPr>
        <w:t>аминаващи с кацане в Р</w:t>
      </w:r>
      <w:r w:rsidR="000832A8" w:rsidRPr="002A3EAD">
        <w:rPr>
          <w:rFonts w:ascii="Times New Roman" w:hAnsi="Times New Roman"/>
          <w:i w:val="0"/>
          <w:sz w:val="24"/>
        </w:rPr>
        <w:t xml:space="preserve">епублика </w:t>
      </w:r>
      <w:r w:rsidR="00763111" w:rsidRPr="002A3EAD">
        <w:rPr>
          <w:rFonts w:ascii="Times New Roman" w:hAnsi="Times New Roman"/>
          <w:i w:val="0"/>
          <w:sz w:val="24"/>
        </w:rPr>
        <w:t>България;</w:t>
      </w:r>
    </w:p>
    <w:p w:rsidR="00EC32D3" w:rsidRPr="008A32A9" w:rsidRDefault="005B3108" w:rsidP="008A32A9">
      <w:pPr>
        <w:pStyle w:val="BodyText"/>
        <w:numPr>
          <w:ilvl w:val="0"/>
          <w:numId w:val="10"/>
        </w:numPr>
        <w:ind w:right="-24"/>
        <w:rPr>
          <w:rFonts w:ascii="Times New Roman" w:hAnsi="Times New Roman"/>
          <w:i w:val="0"/>
          <w:sz w:val="24"/>
        </w:rPr>
      </w:pPr>
      <w:r w:rsidRPr="002A3EAD">
        <w:rPr>
          <w:rFonts w:ascii="Times New Roman" w:hAnsi="Times New Roman"/>
          <w:i w:val="0"/>
          <w:sz w:val="24"/>
        </w:rPr>
        <w:t>вътрешни.</w:t>
      </w:r>
    </w:p>
    <w:p w:rsidR="00EC32D3" w:rsidRPr="002A3EAD" w:rsidRDefault="005B3108" w:rsidP="00E50F42">
      <w:pPr>
        <w:pStyle w:val="BodyText"/>
        <w:ind w:right="-24" w:firstLine="720"/>
        <w:rPr>
          <w:rFonts w:ascii="Times New Roman" w:hAnsi="Times New Roman"/>
          <w:i w:val="0"/>
          <w:sz w:val="24"/>
          <w:lang w:val="en-US"/>
        </w:rPr>
      </w:pPr>
      <w:r w:rsidRPr="002A3EAD">
        <w:rPr>
          <w:rFonts w:ascii="Times New Roman" w:hAnsi="Times New Roman"/>
          <w:i w:val="0"/>
          <w:sz w:val="24"/>
        </w:rPr>
        <w:t>Общ</w:t>
      </w:r>
      <w:r w:rsidR="00C7190B" w:rsidRPr="002A3EAD">
        <w:rPr>
          <w:rFonts w:ascii="Times New Roman" w:hAnsi="Times New Roman"/>
          <w:i w:val="0"/>
          <w:sz w:val="24"/>
        </w:rPr>
        <w:t xml:space="preserve">ият брой на </w:t>
      </w:r>
      <w:r w:rsidR="00EE4666" w:rsidRPr="002A3EAD">
        <w:rPr>
          <w:rFonts w:ascii="Times New Roman" w:hAnsi="Times New Roman"/>
          <w:i w:val="0"/>
          <w:sz w:val="24"/>
        </w:rPr>
        <w:t>обслу</w:t>
      </w:r>
      <w:r w:rsidR="007973FE" w:rsidRPr="002A3EAD">
        <w:rPr>
          <w:rFonts w:ascii="Times New Roman" w:hAnsi="Times New Roman"/>
          <w:i w:val="0"/>
          <w:sz w:val="24"/>
        </w:rPr>
        <w:t xml:space="preserve">жените </w:t>
      </w:r>
      <w:r w:rsidR="00271BA3" w:rsidRPr="002A3EAD">
        <w:rPr>
          <w:rFonts w:ascii="Times New Roman" w:hAnsi="Times New Roman"/>
          <w:i w:val="0"/>
          <w:sz w:val="24"/>
        </w:rPr>
        <w:t>полети</w:t>
      </w:r>
      <w:r w:rsidR="007973FE" w:rsidRPr="002A3EAD">
        <w:rPr>
          <w:rFonts w:ascii="Times New Roman" w:hAnsi="Times New Roman"/>
          <w:i w:val="0"/>
          <w:sz w:val="24"/>
        </w:rPr>
        <w:t xml:space="preserve"> е </w:t>
      </w:r>
      <w:r w:rsidR="00034216" w:rsidRPr="002A3EAD">
        <w:rPr>
          <w:rFonts w:ascii="Times New Roman" w:hAnsi="Times New Roman"/>
          <w:i w:val="0"/>
          <w:sz w:val="24"/>
        </w:rPr>
        <w:t xml:space="preserve">с </w:t>
      </w:r>
      <w:r w:rsidR="00E11A4C">
        <w:rPr>
          <w:rFonts w:ascii="Times New Roman" w:hAnsi="Times New Roman"/>
          <w:i w:val="0"/>
          <w:sz w:val="24"/>
          <w:lang w:val="en-US"/>
        </w:rPr>
        <w:t>1</w:t>
      </w:r>
      <w:r w:rsidR="0083788D">
        <w:rPr>
          <w:rFonts w:ascii="Times New Roman" w:hAnsi="Times New Roman"/>
          <w:i w:val="0"/>
          <w:sz w:val="24"/>
          <w:lang w:val="en-US"/>
        </w:rPr>
        <w:t>1.7</w:t>
      </w:r>
      <w:r w:rsidRPr="002A3EAD">
        <w:rPr>
          <w:rFonts w:ascii="Times New Roman" w:hAnsi="Times New Roman"/>
          <w:i w:val="0"/>
          <w:sz w:val="24"/>
        </w:rPr>
        <w:t>% по</w:t>
      </w:r>
      <w:r w:rsidR="002F3CA0" w:rsidRPr="002A3EAD">
        <w:rPr>
          <w:rFonts w:ascii="Times New Roman" w:hAnsi="Times New Roman"/>
          <w:i w:val="0"/>
          <w:sz w:val="24"/>
        </w:rPr>
        <w:t>-</w:t>
      </w:r>
      <w:r w:rsidR="001A1E67">
        <w:rPr>
          <w:rFonts w:ascii="Times New Roman" w:hAnsi="Times New Roman"/>
          <w:i w:val="0"/>
          <w:sz w:val="24"/>
        </w:rPr>
        <w:t>висок</w:t>
      </w:r>
      <w:r w:rsidR="001C6602" w:rsidRPr="002A3EAD">
        <w:rPr>
          <w:rFonts w:ascii="Times New Roman" w:hAnsi="Times New Roman"/>
          <w:i w:val="0"/>
          <w:sz w:val="24"/>
        </w:rPr>
        <w:t xml:space="preserve"> </w:t>
      </w:r>
      <w:r w:rsidRPr="002A3EAD">
        <w:rPr>
          <w:rFonts w:ascii="Times New Roman" w:hAnsi="Times New Roman"/>
          <w:i w:val="0"/>
          <w:sz w:val="24"/>
        </w:rPr>
        <w:t xml:space="preserve">от броя им за </w:t>
      </w:r>
      <w:r w:rsidR="00A31772">
        <w:rPr>
          <w:rFonts w:ascii="Times New Roman" w:hAnsi="Times New Roman"/>
          <w:i w:val="0"/>
          <w:sz w:val="24"/>
        </w:rPr>
        <w:t xml:space="preserve">същия период на </w:t>
      </w:r>
      <w:r w:rsidR="008A6CCD" w:rsidRPr="002A3EAD">
        <w:rPr>
          <w:rFonts w:ascii="Times New Roman" w:hAnsi="Times New Roman"/>
          <w:i w:val="0"/>
          <w:sz w:val="24"/>
        </w:rPr>
        <w:t>201</w:t>
      </w:r>
      <w:r w:rsidR="00A31772">
        <w:rPr>
          <w:rFonts w:ascii="Times New Roman" w:hAnsi="Times New Roman"/>
          <w:i w:val="0"/>
          <w:sz w:val="24"/>
          <w:lang w:val="en-US"/>
        </w:rPr>
        <w:t>7</w:t>
      </w:r>
      <w:r w:rsidR="006E69DB" w:rsidRPr="002A3EAD">
        <w:rPr>
          <w:rFonts w:ascii="Times New Roman" w:hAnsi="Times New Roman"/>
          <w:i w:val="0"/>
          <w:sz w:val="24"/>
        </w:rPr>
        <w:t xml:space="preserve"> г. и е следствие</w:t>
      </w:r>
      <w:r w:rsidRPr="002A3EAD">
        <w:rPr>
          <w:rFonts w:ascii="Times New Roman" w:hAnsi="Times New Roman"/>
          <w:i w:val="0"/>
          <w:sz w:val="24"/>
        </w:rPr>
        <w:t xml:space="preserve"> </w:t>
      </w:r>
      <w:r w:rsidR="00DA19C7" w:rsidRPr="002A3EAD">
        <w:rPr>
          <w:rFonts w:ascii="Times New Roman" w:hAnsi="Times New Roman"/>
          <w:i w:val="0"/>
          <w:sz w:val="24"/>
        </w:rPr>
        <w:t xml:space="preserve">основно </w:t>
      </w:r>
      <w:r w:rsidRPr="002A3EAD">
        <w:rPr>
          <w:rFonts w:ascii="Times New Roman" w:hAnsi="Times New Roman"/>
          <w:i w:val="0"/>
          <w:sz w:val="24"/>
        </w:rPr>
        <w:t xml:space="preserve">на </w:t>
      </w:r>
      <w:r w:rsidR="00C21F7D">
        <w:rPr>
          <w:rFonts w:ascii="Times New Roman" w:hAnsi="Times New Roman"/>
          <w:i w:val="0"/>
          <w:sz w:val="24"/>
        </w:rPr>
        <w:t>ку</w:t>
      </w:r>
      <w:r w:rsidR="00425AD5">
        <w:rPr>
          <w:rFonts w:ascii="Times New Roman" w:hAnsi="Times New Roman"/>
          <w:i w:val="0"/>
          <w:sz w:val="24"/>
        </w:rPr>
        <w:t xml:space="preserve">мулативното влияние на </w:t>
      </w:r>
      <w:r w:rsidR="00F457ED">
        <w:rPr>
          <w:rFonts w:ascii="Times New Roman" w:hAnsi="Times New Roman"/>
          <w:i w:val="0"/>
          <w:sz w:val="24"/>
        </w:rPr>
        <w:t>увеличение</w:t>
      </w:r>
      <w:r w:rsidR="001C6602">
        <w:rPr>
          <w:rFonts w:ascii="Times New Roman" w:hAnsi="Times New Roman"/>
          <w:i w:val="0"/>
          <w:sz w:val="24"/>
        </w:rPr>
        <w:t xml:space="preserve"> на прелитащите полети</w:t>
      </w:r>
      <w:r w:rsidR="00C21F7D">
        <w:rPr>
          <w:rFonts w:ascii="Times New Roman" w:hAnsi="Times New Roman"/>
          <w:i w:val="0"/>
          <w:sz w:val="24"/>
        </w:rPr>
        <w:t xml:space="preserve"> </w:t>
      </w:r>
      <w:r w:rsidR="00F457ED">
        <w:rPr>
          <w:rFonts w:ascii="Times New Roman" w:hAnsi="Times New Roman"/>
          <w:i w:val="0"/>
          <w:sz w:val="24"/>
        </w:rPr>
        <w:t xml:space="preserve">с </w:t>
      </w:r>
      <w:r w:rsidR="002B5A95">
        <w:rPr>
          <w:rFonts w:ascii="Times New Roman" w:hAnsi="Times New Roman"/>
          <w:i w:val="0"/>
          <w:sz w:val="24"/>
          <w:lang w:val="en-US"/>
        </w:rPr>
        <w:t>12.</w:t>
      </w:r>
      <w:r w:rsidR="0083788D">
        <w:rPr>
          <w:rFonts w:ascii="Times New Roman" w:hAnsi="Times New Roman"/>
          <w:i w:val="0"/>
          <w:sz w:val="24"/>
          <w:lang w:val="en-US"/>
        </w:rPr>
        <w:t>2</w:t>
      </w:r>
      <w:r w:rsidR="00F457ED">
        <w:rPr>
          <w:rFonts w:ascii="Times New Roman" w:hAnsi="Times New Roman"/>
          <w:i w:val="0"/>
          <w:sz w:val="24"/>
        </w:rPr>
        <w:t xml:space="preserve">% </w:t>
      </w:r>
      <w:r w:rsidR="00C21F7D">
        <w:rPr>
          <w:rFonts w:ascii="Times New Roman" w:hAnsi="Times New Roman"/>
          <w:i w:val="0"/>
          <w:sz w:val="24"/>
        </w:rPr>
        <w:t xml:space="preserve">и чувствителното увеличение на броя на </w:t>
      </w:r>
      <w:r w:rsidR="00A31772">
        <w:rPr>
          <w:rFonts w:ascii="Times New Roman" w:hAnsi="Times New Roman"/>
          <w:i w:val="0"/>
          <w:sz w:val="24"/>
        </w:rPr>
        <w:t>вътрешните</w:t>
      </w:r>
      <w:r w:rsidR="00C21F7D">
        <w:rPr>
          <w:rFonts w:ascii="Times New Roman" w:hAnsi="Times New Roman"/>
          <w:i w:val="0"/>
          <w:sz w:val="24"/>
        </w:rPr>
        <w:t xml:space="preserve"> полети</w:t>
      </w:r>
      <w:r w:rsidR="008D6B8C" w:rsidRPr="002A3EAD">
        <w:rPr>
          <w:rFonts w:ascii="Times New Roman" w:hAnsi="Times New Roman"/>
          <w:i w:val="0"/>
          <w:sz w:val="24"/>
        </w:rPr>
        <w:t xml:space="preserve">. </w:t>
      </w:r>
      <w:r w:rsidR="00271BA3" w:rsidRPr="002A3EAD">
        <w:rPr>
          <w:rFonts w:ascii="Times New Roman" w:hAnsi="Times New Roman"/>
          <w:i w:val="0"/>
          <w:sz w:val="24"/>
          <w:lang w:val="ru-RU"/>
        </w:rPr>
        <w:t xml:space="preserve">При вътрешните полети в зависимост от летището на излитане и кацане, е възможно при един полет едно и също </w:t>
      </w:r>
      <w:r w:rsidR="00191E36" w:rsidRPr="002A3EAD">
        <w:rPr>
          <w:rFonts w:ascii="Times New Roman" w:hAnsi="Times New Roman"/>
          <w:i w:val="0"/>
          <w:sz w:val="24"/>
          <w:lang w:val="ru-RU"/>
        </w:rPr>
        <w:t>въздухоплавателно средство (</w:t>
      </w:r>
      <w:r w:rsidR="00271BA3" w:rsidRPr="002A3EAD">
        <w:rPr>
          <w:rFonts w:ascii="Times New Roman" w:hAnsi="Times New Roman"/>
          <w:i w:val="0"/>
          <w:sz w:val="24"/>
          <w:lang w:val="ru-RU"/>
        </w:rPr>
        <w:t>ВС</w:t>
      </w:r>
      <w:r w:rsidR="00191E36" w:rsidRPr="002A3EAD">
        <w:rPr>
          <w:rFonts w:ascii="Times New Roman" w:hAnsi="Times New Roman"/>
          <w:i w:val="0"/>
          <w:sz w:val="24"/>
          <w:lang w:val="ru-RU"/>
        </w:rPr>
        <w:t>)</w:t>
      </w:r>
      <w:r w:rsidR="00271BA3" w:rsidRPr="002A3EAD">
        <w:rPr>
          <w:rFonts w:ascii="Times New Roman" w:hAnsi="Times New Roman"/>
          <w:i w:val="0"/>
          <w:sz w:val="24"/>
          <w:lang w:val="ru-RU"/>
        </w:rPr>
        <w:t xml:space="preserve"> да бъде обслужено два пъти – на летището на и</w:t>
      </w:r>
      <w:r w:rsidR="00151AD1" w:rsidRPr="002A3EAD">
        <w:rPr>
          <w:rFonts w:ascii="Times New Roman" w:hAnsi="Times New Roman"/>
          <w:i w:val="0"/>
          <w:sz w:val="24"/>
          <w:lang w:val="ru-RU"/>
        </w:rPr>
        <w:t>злитане и на летището на кацане</w:t>
      </w:r>
      <w:r w:rsidR="00271BA3" w:rsidRPr="002A3EAD">
        <w:rPr>
          <w:rFonts w:ascii="Times New Roman" w:hAnsi="Times New Roman"/>
          <w:i w:val="0"/>
          <w:sz w:val="24"/>
          <w:lang w:val="ru-RU"/>
        </w:rPr>
        <w:t xml:space="preserve">. </w:t>
      </w:r>
      <w:r w:rsidR="00F65D1F" w:rsidRPr="002A3EAD">
        <w:rPr>
          <w:rFonts w:ascii="Times New Roman" w:hAnsi="Times New Roman"/>
          <w:i w:val="0"/>
          <w:sz w:val="24"/>
          <w:lang w:val="ru-RU"/>
        </w:rPr>
        <w:t>В таблицата по-горе обслужените въздухоплавателни средства при вътрешни полети са броени еднократно.</w:t>
      </w:r>
      <w:r w:rsidR="00271BA3" w:rsidRPr="002A3EAD">
        <w:rPr>
          <w:rFonts w:ascii="Times New Roman" w:hAnsi="Times New Roman"/>
          <w:i w:val="0"/>
          <w:sz w:val="24"/>
          <w:lang w:val="ru-RU"/>
        </w:rPr>
        <w:t xml:space="preserve"> </w:t>
      </w:r>
    </w:p>
    <w:p w:rsidR="00A31772" w:rsidRPr="008A32A9" w:rsidRDefault="005B3108" w:rsidP="008A32A9">
      <w:pPr>
        <w:pStyle w:val="BodyText"/>
        <w:ind w:right="-24" w:firstLine="720"/>
        <w:rPr>
          <w:rFonts w:ascii="Times New Roman" w:hAnsi="Times New Roman"/>
          <w:i w:val="0"/>
          <w:sz w:val="24"/>
        </w:rPr>
      </w:pPr>
      <w:r w:rsidRPr="002A3EAD">
        <w:rPr>
          <w:rFonts w:ascii="Times New Roman" w:hAnsi="Times New Roman"/>
          <w:i w:val="0"/>
          <w:sz w:val="24"/>
        </w:rPr>
        <w:t>Динамиката за всяка група ВС е посочена в таблицата по-горе. През разглеждания период броя</w:t>
      </w:r>
      <w:r w:rsidR="00DF4652" w:rsidRPr="002A3EAD">
        <w:rPr>
          <w:rFonts w:ascii="Times New Roman" w:hAnsi="Times New Roman"/>
          <w:i w:val="0"/>
          <w:sz w:val="24"/>
        </w:rPr>
        <w:t>т</w:t>
      </w:r>
      <w:r w:rsidRPr="002A3EAD">
        <w:rPr>
          <w:rFonts w:ascii="Times New Roman" w:hAnsi="Times New Roman"/>
          <w:i w:val="0"/>
          <w:sz w:val="24"/>
        </w:rPr>
        <w:t xml:space="preserve"> на </w:t>
      </w:r>
      <w:r w:rsidR="006E69DB" w:rsidRPr="002A3EAD">
        <w:rPr>
          <w:rFonts w:ascii="Times New Roman" w:hAnsi="Times New Roman"/>
          <w:i w:val="0"/>
          <w:sz w:val="24"/>
        </w:rPr>
        <w:t xml:space="preserve">прелитащите ВС </w:t>
      </w:r>
      <w:r w:rsidR="009B69BB" w:rsidRPr="002A3EAD">
        <w:rPr>
          <w:rFonts w:ascii="Times New Roman" w:hAnsi="Times New Roman"/>
          <w:i w:val="0"/>
          <w:sz w:val="24"/>
        </w:rPr>
        <w:t xml:space="preserve">регистрира </w:t>
      </w:r>
      <w:r w:rsidR="00A21F74">
        <w:rPr>
          <w:rFonts w:ascii="Times New Roman" w:hAnsi="Times New Roman"/>
          <w:i w:val="0"/>
          <w:sz w:val="24"/>
        </w:rPr>
        <w:t>увеличение</w:t>
      </w:r>
      <w:r w:rsidR="0056650D" w:rsidRPr="002A3EAD">
        <w:rPr>
          <w:rFonts w:ascii="Times New Roman" w:hAnsi="Times New Roman"/>
          <w:i w:val="0"/>
          <w:sz w:val="24"/>
        </w:rPr>
        <w:t xml:space="preserve"> с</w:t>
      </w:r>
      <w:r w:rsidR="00D402EF" w:rsidRPr="002A3EAD">
        <w:rPr>
          <w:rFonts w:ascii="Times New Roman" w:hAnsi="Times New Roman"/>
          <w:i w:val="0"/>
          <w:sz w:val="24"/>
        </w:rPr>
        <w:t xml:space="preserve"> </w:t>
      </w:r>
      <w:r w:rsidR="002B5A95">
        <w:rPr>
          <w:rFonts w:ascii="Times New Roman" w:hAnsi="Times New Roman"/>
          <w:i w:val="0"/>
          <w:sz w:val="24"/>
          <w:lang w:val="en-US"/>
        </w:rPr>
        <w:t>12.</w:t>
      </w:r>
      <w:r w:rsidR="0083788D">
        <w:rPr>
          <w:rFonts w:ascii="Times New Roman" w:hAnsi="Times New Roman"/>
          <w:i w:val="0"/>
          <w:sz w:val="24"/>
          <w:lang w:val="en-US"/>
        </w:rPr>
        <w:t>2</w:t>
      </w:r>
      <w:r w:rsidR="00CB6460" w:rsidRPr="002A3EAD">
        <w:rPr>
          <w:rFonts w:ascii="Times New Roman" w:hAnsi="Times New Roman"/>
          <w:i w:val="0"/>
          <w:sz w:val="24"/>
        </w:rPr>
        <w:t>%</w:t>
      </w:r>
      <w:r w:rsidR="00D31E3D" w:rsidRPr="002A3EAD">
        <w:rPr>
          <w:rFonts w:ascii="Times New Roman" w:hAnsi="Times New Roman"/>
          <w:i w:val="0"/>
          <w:sz w:val="24"/>
        </w:rPr>
        <w:t xml:space="preserve"> спрямо предходния период</w:t>
      </w:r>
      <w:r w:rsidR="00CB6460" w:rsidRPr="002A3EAD">
        <w:rPr>
          <w:rFonts w:ascii="Times New Roman" w:hAnsi="Times New Roman"/>
          <w:i w:val="0"/>
          <w:sz w:val="24"/>
        </w:rPr>
        <w:t>.</w:t>
      </w:r>
      <w:r w:rsidR="006E2B8D" w:rsidRPr="002A3EAD">
        <w:rPr>
          <w:rFonts w:ascii="Times New Roman" w:hAnsi="Times New Roman"/>
          <w:i w:val="0"/>
          <w:sz w:val="24"/>
        </w:rPr>
        <w:t xml:space="preserve"> </w:t>
      </w:r>
      <w:r w:rsidRPr="002A3EAD">
        <w:rPr>
          <w:rFonts w:ascii="Times New Roman" w:hAnsi="Times New Roman"/>
          <w:i w:val="0"/>
          <w:sz w:val="24"/>
        </w:rPr>
        <w:t xml:space="preserve">Прелитащите ВС са </w:t>
      </w:r>
      <w:r w:rsidR="00763111" w:rsidRPr="002A3EAD">
        <w:rPr>
          <w:rFonts w:ascii="Times New Roman" w:hAnsi="Times New Roman"/>
          <w:i w:val="0"/>
          <w:sz w:val="24"/>
        </w:rPr>
        <w:t xml:space="preserve">основната група, </w:t>
      </w:r>
      <w:r w:rsidR="003843F1" w:rsidRPr="002A3EAD">
        <w:rPr>
          <w:rFonts w:ascii="Times New Roman" w:hAnsi="Times New Roman"/>
          <w:i w:val="0"/>
          <w:sz w:val="24"/>
        </w:rPr>
        <w:t xml:space="preserve">която </w:t>
      </w:r>
      <w:r w:rsidR="00763111" w:rsidRPr="002A3EAD">
        <w:rPr>
          <w:rFonts w:ascii="Times New Roman" w:hAnsi="Times New Roman"/>
          <w:i w:val="0"/>
          <w:sz w:val="24"/>
        </w:rPr>
        <w:t>генерира</w:t>
      </w:r>
      <w:r w:rsidRPr="002A3EAD">
        <w:rPr>
          <w:rFonts w:ascii="Times New Roman" w:hAnsi="Times New Roman"/>
          <w:i w:val="0"/>
          <w:sz w:val="24"/>
        </w:rPr>
        <w:t xml:space="preserve"> обслужени единици (ОЕ) в нашето въздушно пространство, като на тях се дължат 95-98% от всички ОЕ. Следователно колебанията в прелитащия трафик ще влияят съответно и на равнището на ОЕ и приходите (при една и съща трасова </w:t>
      </w:r>
      <w:r w:rsidR="00CD3824" w:rsidRPr="002A3EAD">
        <w:rPr>
          <w:rFonts w:ascii="Times New Roman" w:hAnsi="Times New Roman"/>
          <w:i w:val="0"/>
          <w:sz w:val="24"/>
        </w:rPr>
        <w:t>мрежа).</w:t>
      </w:r>
      <w:r w:rsidR="008A32A9">
        <w:rPr>
          <w:rFonts w:ascii="Times New Roman" w:hAnsi="Times New Roman"/>
          <w:i w:val="0"/>
          <w:sz w:val="24"/>
        </w:rPr>
        <w:t xml:space="preserve"> </w:t>
      </w:r>
      <w:r w:rsidR="00DA7305">
        <w:rPr>
          <w:rFonts w:ascii="Times New Roman" w:hAnsi="Times New Roman"/>
          <w:i w:val="0"/>
          <w:sz w:val="24"/>
        </w:rPr>
        <w:t xml:space="preserve">Към </w:t>
      </w:r>
      <w:r w:rsidR="0083788D">
        <w:rPr>
          <w:rFonts w:ascii="Times New Roman" w:hAnsi="Times New Roman"/>
          <w:i w:val="0"/>
          <w:sz w:val="24"/>
        </w:rPr>
        <w:t>септември</w:t>
      </w:r>
      <w:r w:rsidR="002B5F0A" w:rsidRPr="002A3EAD">
        <w:rPr>
          <w:rFonts w:ascii="Times New Roman" w:hAnsi="Times New Roman"/>
          <w:i w:val="0"/>
          <w:sz w:val="24"/>
        </w:rPr>
        <w:t xml:space="preserve"> </w:t>
      </w:r>
      <w:r w:rsidR="007A2A15" w:rsidRPr="002A3EAD">
        <w:rPr>
          <w:rFonts w:ascii="Times New Roman" w:hAnsi="Times New Roman"/>
          <w:i w:val="0"/>
          <w:sz w:val="24"/>
        </w:rPr>
        <w:t>20</w:t>
      </w:r>
      <w:r w:rsidR="00493005" w:rsidRPr="002A3EAD">
        <w:rPr>
          <w:rFonts w:ascii="Times New Roman" w:hAnsi="Times New Roman"/>
          <w:i w:val="0"/>
          <w:sz w:val="24"/>
        </w:rPr>
        <w:t>1</w:t>
      </w:r>
      <w:r w:rsidR="00A31772">
        <w:rPr>
          <w:rFonts w:ascii="Times New Roman" w:hAnsi="Times New Roman"/>
          <w:i w:val="0"/>
          <w:sz w:val="24"/>
        </w:rPr>
        <w:t>8</w:t>
      </w:r>
      <w:r w:rsidRPr="002A3EAD">
        <w:rPr>
          <w:rFonts w:ascii="Times New Roman" w:hAnsi="Times New Roman"/>
          <w:i w:val="0"/>
          <w:sz w:val="24"/>
        </w:rPr>
        <w:t xml:space="preserve"> г. </w:t>
      </w:r>
      <w:r w:rsidR="004F3125" w:rsidRPr="002A3EAD">
        <w:rPr>
          <w:rFonts w:ascii="Times New Roman" w:hAnsi="Times New Roman"/>
          <w:i w:val="0"/>
          <w:sz w:val="24"/>
        </w:rPr>
        <w:t>увеличението</w:t>
      </w:r>
      <w:r w:rsidRPr="002A3EAD">
        <w:rPr>
          <w:rFonts w:ascii="Times New Roman" w:hAnsi="Times New Roman"/>
          <w:i w:val="0"/>
          <w:sz w:val="24"/>
        </w:rPr>
        <w:t xml:space="preserve"> в ОЕ спрямо </w:t>
      </w:r>
      <w:r w:rsidR="00A31772">
        <w:rPr>
          <w:rFonts w:ascii="Times New Roman" w:hAnsi="Times New Roman"/>
          <w:i w:val="0"/>
          <w:sz w:val="24"/>
        </w:rPr>
        <w:t xml:space="preserve">аналогичния период на </w:t>
      </w:r>
      <w:r w:rsidR="00F825B6" w:rsidRPr="002A3EAD">
        <w:rPr>
          <w:rFonts w:ascii="Times New Roman" w:hAnsi="Times New Roman"/>
          <w:i w:val="0"/>
          <w:sz w:val="24"/>
        </w:rPr>
        <w:t>предходната</w:t>
      </w:r>
      <w:r w:rsidR="00A807AE" w:rsidRPr="002A3EAD">
        <w:rPr>
          <w:rFonts w:ascii="Times New Roman" w:hAnsi="Times New Roman"/>
          <w:i w:val="0"/>
          <w:sz w:val="24"/>
        </w:rPr>
        <w:t xml:space="preserve"> година е </w:t>
      </w:r>
      <w:r w:rsidR="006F6C40" w:rsidRPr="002A3EAD">
        <w:rPr>
          <w:rFonts w:ascii="Times New Roman" w:hAnsi="Times New Roman"/>
          <w:i w:val="0"/>
          <w:sz w:val="24"/>
        </w:rPr>
        <w:t>с</w:t>
      </w:r>
      <w:r w:rsidR="00C81811" w:rsidRPr="002A3EAD">
        <w:rPr>
          <w:rFonts w:ascii="Times New Roman" w:hAnsi="Times New Roman"/>
          <w:i w:val="0"/>
          <w:sz w:val="24"/>
        </w:rPr>
        <w:t xml:space="preserve"> </w:t>
      </w:r>
      <w:r w:rsidR="002B5A95">
        <w:rPr>
          <w:rFonts w:ascii="Times New Roman" w:hAnsi="Times New Roman"/>
          <w:i w:val="0"/>
          <w:sz w:val="24"/>
          <w:lang w:val="en-US"/>
        </w:rPr>
        <w:t>12.</w:t>
      </w:r>
      <w:r w:rsidR="007245F0">
        <w:rPr>
          <w:rFonts w:ascii="Times New Roman" w:hAnsi="Times New Roman"/>
          <w:i w:val="0"/>
          <w:sz w:val="24"/>
        </w:rPr>
        <w:t>2</w:t>
      </w:r>
      <w:r w:rsidR="008815D3" w:rsidRPr="002A3EAD">
        <w:rPr>
          <w:rFonts w:ascii="Times New Roman" w:hAnsi="Times New Roman"/>
          <w:i w:val="0"/>
          <w:sz w:val="24"/>
        </w:rPr>
        <w:t>%</w:t>
      </w:r>
      <w:r w:rsidRPr="002A3EAD">
        <w:rPr>
          <w:rFonts w:ascii="Times New Roman" w:hAnsi="Times New Roman"/>
          <w:i w:val="0"/>
          <w:sz w:val="24"/>
        </w:rPr>
        <w:t>.</w:t>
      </w:r>
      <w:r w:rsidR="00271BA3" w:rsidRPr="002A3EAD">
        <w:rPr>
          <w:rFonts w:ascii="Times New Roman" w:hAnsi="Times New Roman"/>
          <w:i w:val="0"/>
          <w:sz w:val="24"/>
        </w:rPr>
        <w:t xml:space="preserve"> </w:t>
      </w:r>
      <w:r w:rsidR="007714EB" w:rsidRPr="002A3EAD">
        <w:rPr>
          <w:rFonts w:ascii="Times New Roman" w:hAnsi="Times New Roman"/>
          <w:i w:val="0"/>
          <w:sz w:val="24"/>
        </w:rPr>
        <w:t xml:space="preserve">Общото </w:t>
      </w:r>
      <w:r w:rsidR="004F3125" w:rsidRPr="002A3EAD">
        <w:rPr>
          <w:rFonts w:ascii="Times New Roman" w:hAnsi="Times New Roman"/>
          <w:i w:val="0"/>
          <w:sz w:val="24"/>
        </w:rPr>
        <w:t>увеличение</w:t>
      </w:r>
      <w:r w:rsidR="007714EB" w:rsidRPr="002A3EAD">
        <w:rPr>
          <w:rFonts w:ascii="Times New Roman" w:hAnsi="Times New Roman"/>
          <w:i w:val="0"/>
          <w:sz w:val="24"/>
        </w:rPr>
        <w:t xml:space="preserve"> на </w:t>
      </w:r>
      <w:r w:rsidR="009D05DE" w:rsidRPr="002A3EAD">
        <w:rPr>
          <w:rFonts w:ascii="Times New Roman" w:hAnsi="Times New Roman"/>
          <w:i w:val="0"/>
          <w:sz w:val="24"/>
        </w:rPr>
        <w:t xml:space="preserve">обслужените единици е резултат от </w:t>
      </w:r>
      <w:r w:rsidR="00156118" w:rsidRPr="002A3EAD">
        <w:rPr>
          <w:rFonts w:ascii="Times New Roman" w:hAnsi="Times New Roman"/>
          <w:i w:val="0"/>
          <w:sz w:val="24"/>
        </w:rPr>
        <w:t xml:space="preserve">нарастването </w:t>
      </w:r>
      <w:r w:rsidR="009D05DE" w:rsidRPr="002A3EAD">
        <w:rPr>
          <w:rFonts w:ascii="Times New Roman" w:hAnsi="Times New Roman"/>
          <w:i w:val="0"/>
          <w:sz w:val="24"/>
        </w:rPr>
        <w:t xml:space="preserve">на броя на </w:t>
      </w:r>
      <w:r w:rsidR="00CD3824" w:rsidRPr="002A3EAD">
        <w:rPr>
          <w:rFonts w:ascii="Times New Roman" w:hAnsi="Times New Roman"/>
          <w:i w:val="0"/>
          <w:sz w:val="24"/>
        </w:rPr>
        <w:t xml:space="preserve">ОЕ, генерирани </w:t>
      </w:r>
      <w:r w:rsidR="00295E64" w:rsidRPr="002A3EAD">
        <w:rPr>
          <w:rFonts w:ascii="Times New Roman" w:hAnsi="Times New Roman"/>
          <w:i w:val="0"/>
          <w:sz w:val="24"/>
        </w:rPr>
        <w:t xml:space="preserve">основно </w:t>
      </w:r>
      <w:r w:rsidR="00C63A3F" w:rsidRPr="002A3EAD">
        <w:rPr>
          <w:rFonts w:ascii="Times New Roman" w:hAnsi="Times New Roman"/>
          <w:i w:val="0"/>
          <w:sz w:val="24"/>
        </w:rPr>
        <w:t xml:space="preserve">от прелитащия трафик </w:t>
      </w:r>
      <w:r w:rsidR="005E7A77" w:rsidRPr="002A3EAD">
        <w:rPr>
          <w:rFonts w:ascii="Times New Roman" w:hAnsi="Times New Roman"/>
          <w:i w:val="0"/>
          <w:sz w:val="24"/>
        </w:rPr>
        <w:t>от/до Близкия изток</w:t>
      </w:r>
      <w:r w:rsidR="00A31772">
        <w:rPr>
          <w:rFonts w:ascii="Times New Roman" w:hAnsi="Times New Roman"/>
          <w:i w:val="0"/>
          <w:sz w:val="24"/>
        </w:rPr>
        <w:t xml:space="preserve"> и от/до Турция</w:t>
      </w:r>
      <w:r w:rsidR="00295E64" w:rsidRPr="002A3EAD">
        <w:rPr>
          <w:rFonts w:ascii="Times New Roman" w:hAnsi="Times New Roman"/>
          <w:i w:val="0"/>
          <w:sz w:val="24"/>
        </w:rPr>
        <w:t>.</w:t>
      </w:r>
      <w:r w:rsidR="00B74C17" w:rsidRPr="002A3EAD">
        <w:rPr>
          <w:rFonts w:ascii="Times New Roman" w:hAnsi="Times New Roman"/>
          <w:i w:val="0"/>
          <w:sz w:val="24"/>
          <w:lang w:val="en-US"/>
        </w:rPr>
        <w:t xml:space="preserve"> </w:t>
      </w:r>
    </w:p>
    <w:p w:rsidR="00354C5F" w:rsidRDefault="00B11601" w:rsidP="009032E0">
      <w:pPr>
        <w:pStyle w:val="BlockText"/>
        <w:ind w:left="0" w:right="-24" w:firstLine="720"/>
        <w:rPr>
          <w:rFonts w:ascii="Times New Roman" w:hAnsi="Times New Roman"/>
          <w:lang w:val="bg-BG"/>
        </w:rPr>
      </w:pPr>
      <w:r w:rsidRPr="002A3EAD">
        <w:rPr>
          <w:rFonts w:ascii="Times New Roman" w:hAnsi="Times New Roman"/>
          <w:lang w:val="bg-BG"/>
        </w:rPr>
        <w:lastRenderedPageBreak/>
        <w:t>Д</w:t>
      </w:r>
      <w:r w:rsidR="005B3108" w:rsidRPr="002A3EAD">
        <w:rPr>
          <w:rFonts w:ascii="Times New Roman" w:hAnsi="Times New Roman"/>
          <w:lang w:val="ru-RU"/>
        </w:rPr>
        <w:t>ве групи ВС – тези, извършващи прелитане и международните полети с кацане в Р</w:t>
      </w:r>
      <w:r w:rsidR="000832A8" w:rsidRPr="002A3EAD">
        <w:rPr>
          <w:rFonts w:ascii="Times New Roman" w:hAnsi="Times New Roman"/>
          <w:lang w:val="ru-RU"/>
        </w:rPr>
        <w:t xml:space="preserve">епублика </w:t>
      </w:r>
      <w:r w:rsidR="005B3108" w:rsidRPr="002A3EAD">
        <w:rPr>
          <w:rFonts w:ascii="Times New Roman" w:hAnsi="Times New Roman"/>
          <w:lang w:val="ru-RU"/>
        </w:rPr>
        <w:t>България, имат ясно изразен сезонен компонент, т.е. минимуми през зимните</w:t>
      </w:r>
      <w:r w:rsidR="00D725D5" w:rsidRPr="002A3EAD">
        <w:rPr>
          <w:rFonts w:ascii="Times New Roman" w:hAnsi="Times New Roman"/>
          <w:lang w:val="ru-RU"/>
        </w:rPr>
        <w:t xml:space="preserve"> месеци и максимуми през лятото. П</w:t>
      </w:r>
      <w:r w:rsidR="005B3108" w:rsidRPr="002A3EAD">
        <w:rPr>
          <w:rFonts w:ascii="Times New Roman" w:hAnsi="Times New Roman"/>
          <w:lang w:val="ru-RU"/>
        </w:rPr>
        <w:t xml:space="preserve">ри вътрешните полети </w:t>
      </w:r>
      <w:r w:rsidR="00D725D5" w:rsidRPr="002A3EAD">
        <w:rPr>
          <w:rFonts w:ascii="Times New Roman" w:hAnsi="Times New Roman"/>
          <w:lang w:val="ru-RU"/>
        </w:rPr>
        <w:t>няма изразена сезонност.</w:t>
      </w:r>
      <w:r w:rsidR="005B3108" w:rsidRPr="002A3EAD">
        <w:rPr>
          <w:rFonts w:ascii="Times New Roman" w:hAnsi="Times New Roman"/>
          <w:lang w:val="ru-RU"/>
        </w:rPr>
        <w:t xml:space="preserve"> </w:t>
      </w:r>
      <w:r w:rsidR="00D725D5" w:rsidRPr="002A3EAD">
        <w:rPr>
          <w:rFonts w:ascii="Times New Roman" w:hAnsi="Times New Roman"/>
          <w:lang w:val="ru-RU"/>
        </w:rPr>
        <w:t>Р</w:t>
      </w:r>
      <w:r w:rsidR="005B3108" w:rsidRPr="002A3EAD">
        <w:rPr>
          <w:rFonts w:ascii="Times New Roman" w:hAnsi="Times New Roman"/>
          <w:lang w:val="ru-RU"/>
        </w:rPr>
        <w:t xml:space="preserve">азпределението им в рамките на годината </w:t>
      </w:r>
      <w:r w:rsidR="00D725D5" w:rsidRPr="002A3EAD">
        <w:rPr>
          <w:rFonts w:ascii="Times New Roman" w:hAnsi="Times New Roman"/>
          <w:lang w:val="ru-RU"/>
        </w:rPr>
        <w:t>не следва определен модел</w:t>
      </w:r>
      <w:r w:rsidR="00D725D5" w:rsidRPr="002A3EAD">
        <w:rPr>
          <w:rFonts w:ascii="Times New Roman" w:hAnsi="Times New Roman"/>
          <w:lang w:val="bg-BG"/>
        </w:rPr>
        <w:t xml:space="preserve">. </w:t>
      </w:r>
      <w:r w:rsidR="005B3108" w:rsidRPr="002A3EAD">
        <w:rPr>
          <w:rFonts w:ascii="Times New Roman" w:hAnsi="Times New Roman"/>
          <w:lang w:val="bg-BG"/>
        </w:rPr>
        <w:t>Сезонният елемент се дължи основно на чартърните полети до морските курорти в Турция, Гърция и Кипър.</w:t>
      </w:r>
    </w:p>
    <w:p w:rsidR="009743FB" w:rsidRDefault="0049372C" w:rsidP="00110FF3">
      <w:pPr>
        <w:pStyle w:val="BlockText"/>
        <w:ind w:left="0" w:right="-24" w:firstLine="720"/>
        <w:rPr>
          <w:rFonts w:ascii="Times New Roman" w:hAnsi="Times New Roman"/>
          <w:lang w:val="bg-BG"/>
        </w:rPr>
      </w:pPr>
      <w:r w:rsidRPr="002A3EAD">
        <w:rPr>
          <w:rFonts w:ascii="Times New Roman" w:hAnsi="Times New Roman"/>
          <w:lang w:val="bg-BG"/>
        </w:rPr>
        <w:t xml:space="preserve">На системно равнище </w:t>
      </w:r>
      <w:r w:rsidR="00A965A5">
        <w:rPr>
          <w:rFonts w:ascii="Times New Roman" w:hAnsi="Times New Roman"/>
          <w:lang w:val="bg-BG"/>
        </w:rPr>
        <w:t xml:space="preserve">към </w:t>
      </w:r>
      <w:r w:rsidR="00024884">
        <w:rPr>
          <w:rFonts w:ascii="Times New Roman" w:hAnsi="Times New Roman"/>
          <w:lang w:val="bg-BG"/>
        </w:rPr>
        <w:t>септември</w:t>
      </w:r>
      <w:r w:rsidR="008A6CCD" w:rsidRPr="002A3EAD">
        <w:rPr>
          <w:rFonts w:ascii="Times New Roman" w:hAnsi="Times New Roman"/>
          <w:lang w:val="bg-BG"/>
        </w:rPr>
        <w:t xml:space="preserve"> 201</w:t>
      </w:r>
      <w:r w:rsidR="00A31772">
        <w:rPr>
          <w:rFonts w:ascii="Times New Roman" w:hAnsi="Times New Roman"/>
          <w:lang w:val="bg-BG"/>
        </w:rPr>
        <w:t>8</w:t>
      </w:r>
      <w:r w:rsidR="00437E0E" w:rsidRPr="002A3EAD">
        <w:rPr>
          <w:rFonts w:ascii="Times New Roman" w:hAnsi="Times New Roman"/>
          <w:lang w:val="bg-BG"/>
        </w:rPr>
        <w:t xml:space="preserve"> г. </w:t>
      </w:r>
      <w:r w:rsidR="00770B59">
        <w:rPr>
          <w:rFonts w:ascii="Times New Roman" w:hAnsi="Times New Roman"/>
          <w:lang w:val="bg-BG"/>
        </w:rPr>
        <w:t xml:space="preserve">има нарастване на </w:t>
      </w:r>
      <w:r w:rsidR="00437E0E" w:rsidRPr="002A3EAD">
        <w:rPr>
          <w:rFonts w:ascii="Times New Roman" w:hAnsi="Times New Roman"/>
          <w:lang w:val="bg-BG"/>
        </w:rPr>
        <w:t>ОЕ в обс</w:t>
      </w:r>
      <w:r w:rsidR="00A74628" w:rsidRPr="002A3EAD">
        <w:rPr>
          <w:rFonts w:ascii="Times New Roman" w:hAnsi="Times New Roman"/>
          <w:lang w:val="bg-BG"/>
        </w:rPr>
        <w:t>лужваното въздушно пространство.</w:t>
      </w:r>
      <w:r w:rsidR="00437E0E" w:rsidRPr="002A3EAD">
        <w:rPr>
          <w:rFonts w:ascii="Times New Roman" w:hAnsi="Times New Roman"/>
          <w:lang w:val="bg-BG"/>
        </w:rPr>
        <w:t xml:space="preserve"> </w:t>
      </w:r>
      <w:r w:rsidR="00A74628" w:rsidRPr="002A3EAD">
        <w:rPr>
          <w:rFonts w:ascii="Times New Roman" w:hAnsi="Times New Roman"/>
          <w:lang w:val="bg-BG"/>
        </w:rPr>
        <w:t xml:space="preserve">Страни, които отчитат по-голямо увеличение са </w:t>
      </w:r>
      <w:r w:rsidR="00A31772">
        <w:rPr>
          <w:rFonts w:ascii="Times New Roman" w:hAnsi="Times New Roman"/>
          <w:lang w:val="bg-BG"/>
        </w:rPr>
        <w:t>Швейцария, Австрия</w:t>
      </w:r>
      <w:r w:rsidR="00C25AAF" w:rsidRPr="002A3EAD">
        <w:rPr>
          <w:rFonts w:ascii="Times New Roman" w:hAnsi="Times New Roman"/>
          <w:lang w:val="bg-BG"/>
        </w:rPr>
        <w:t xml:space="preserve">, </w:t>
      </w:r>
      <w:r w:rsidR="00A31772">
        <w:rPr>
          <w:rFonts w:ascii="Times New Roman" w:hAnsi="Times New Roman"/>
          <w:lang w:val="bg-BG"/>
        </w:rPr>
        <w:t>Гърция</w:t>
      </w:r>
      <w:r w:rsidR="00425AD5">
        <w:rPr>
          <w:rFonts w:ascii="Times New Roman" w:hAnsi="Times New Roman"/>
          <w:lang w:val="bg-BG"/>
        </w:rPr>
        <w:t xml:space="preserve">, </w:t>
      </w:r>
      <w:r w:rsidR="001A1E67">
        <w:rPr>
          <w:rFonts w:ascii="Times New Roman" w:hAnsi="Times New Roman"/>
          <w:lang w:val="bg-BG"/>
        </w:rPr>
        <w:t>Турция, Кипър</w:t>
      </w:r>
      <w:r w:rsidR="007F117A">
        <w:rPr>
          <w:rFonts w:ascii="Times New Roman" w:hAnsi="Times New Roman"/>
        </w:rPr>
        <w:t xml:space="preserve">, </w:t>
      </w:r>
      <w:r w:rsidR="00A31772">
        <w:rPr>
          <w:rFonts w:ascii="Times New Roman" w:hAnsi="Times New Roman"/>
          <w:lang w:val="bg-BG"/>
        </w:rPr>
        <w:t xml:space="preserve">Унгария, Словакия, </w:t>
      </w:r>
      <w:r w:rsidR="00425AD5">
        <w:rPr>
          <w:rFonts w:ascii="Times New Roman" w:hAnsi="Times New Roman"/>
          <w:lang w:val="bg-BG"/>
        </w:rPr>
        <w:t>Македония</w:t>
      </w:r>
      <w:r w:rsidR="00EB7B4F">
        <w:rPr>
          <w:rFonts w:ascii="Times New Roman" w:hAnsi="Times New Roman"/>
        </w:rPr>
        <w:t xml:space="preserve">, </w:t>
      </w:r>
      <w:r w:rsidR="0096525A">
        <w:rPr>
          <w:rFonts w:ascii="Times New Roman" w:hAnsi="Times New Roman"/>
          <w:lang w:val="bg-BG"/>
        </w:rPr>
        <w:t xml:space="preserve">Румъния, </w:t>
      </w:r>
      <w:r w:rsidR="00B3701E">
        <w:rPr>
          <w:rFonts w:ascii="Times New Roman" w:hAnsi="Times New Roman"/>
          <w:lang w:val="bg-BG"/>
        </w:rPr>
        <w:t>Хърватия</w:t>
      </w:r>
      <w:r w:rsidR="001753BE">
        <w:rPr>
          <w:rFonts w:ascii="Times New Roman" w:hAnsi="Times New Roman"/>
          <w:lang w:val="bg-BG"/>
        </w:rPr>
        <w:t>, Сърбия, Финландия.</w:t>
      </w:r>
    </w:p>
    <w:tbl>
      <w:tblPr>
        <w:tblW w:w="4949" w:type="pct"/>
        <w:tblInd w:w="65"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2"/>
        <w:gridCol w:w="2223"/>
        <w:gridCol w:w="2021"/>
        <w:gridCol w:w="1047"/>
      </w:tblGrid>
      <w:tr w:rsidR="009C2281" w:rsidRPr="002A3EAD" w:rsidTr="009C2281">
        <w:trPr>
          <w:trHeight w:val="330"/>
        </w:trPr>
        <w:tc>
          <w:tcPr>
            <w:tcW w:w="5000" w:type="pct"/>
            <w:gridSpan w:val="4"/>
            <w:vAlign w:val="bottom"/>
          </w:tcPr>
          <w:p w:rsidR="009C2281" w:rsidRPr="002A3EAD" w:rsidRDefault="009C2281" w:rsidP="009C2281">
            <w:pPr>
              <w:jc w:val="center"/>
            </w:pPr>
            <w:r w:rsidRPr="002A3EAD">
              <w:rPr>
                <w:b/>
              </w:rPr>
              <w:t>ОТЧЕТ ЗА ФИНАНСОВОТО СЪСТОЯНИЕ</w:t>
            </w:r>
          </w:p>
        </w:tc>
      </w:tr>
      <w:tr w:rsidR="001615A2" w:rsidRPr="002A3EAD" w:rsidTr="00A83C3C">
        <w:trPr>
          <w:trHeight w:val="287"/>
        </w:trPr>
        <w:tc>
          <w:tcPr>
            <w:tcW w:w="2363" w:type="pct"/>
            <w:vAlign w:val="bottom"/>
          </w:tcPr>
          <w:p w:rsidR="001615A2" w:rsidRPr="002A3EAD" w:rsidRDefault="001615A2" w:rsidP="0049372C">
            <w:pPr>
              <w:rPr>
                <w:b/>
              </w:rPr>
            </w:pPr>
          </w:p>
        </w:tc>
        <w:tc>
          <w:tcPr>
            <w:tcW w:w="1108" w:type="pct"/>
            <w:vAlign w:val="bottom"/>
          </w:tcPr>
          <w:p w:rsidR="001615A2" w:rsidRPr="002A3EAD" w:rsidRDefault="001615A2" w:rsidP="0049372C">
            <w:pPr>
              <w:jc w:val="center"/>
              <w:rPr>
                <w:b/>
              </w:rPr>
            </w:pPr>
            <w:r w:rsidRPr="002A3EAD">
              <w:rPr>
                <w:b/>
              </w:rPr>
              <w:t>1</w:t>
            </w:r>
          </w:p>
        </w:tc>
        <w:tc>
          <w:tcPr>
            <w:tcW w:w="1007" w:type="pct"/>
            <w:vAlign w:val="bottom"/>
          </w:tcPr>
          <w:p w:rsidR="001615A2" w:rsidRPr="002A3EAD" w:rsidRDefault="001615A2" w:rsidP="0049372C">
            <w:pPr>
              <w:jc w:val="center"/>
              <w:rPr>
                <w:b/>
              </w:rPr>
            </w:pPr>
            <w:r w:rsidRPr="002A3EAD">
              <w:rPr>
                <w:b/>
              </w:rPr>
              <w:t>2</w:t>
            </w:r>
          </w:p>
        </w:tc>
        <w:tc>
          <w:tcPr>
            <w:tcW w:w="522" w:type="pct"/>
            <w:vAlign w:val="bottom"/>
          </w:tcPr>
          <w:p w:rsidR="001615A2" w:rsidRPr="002A3EAD" w:rsidRDefault="009C2281" w:rsidP="009C2281">
            <w:pPr>
              <w:jc w:val="center"/>
              <w:rPr>
                <w:b/>
              </w:rPr>
            </w:pPr>
            <w:r w:rsidRPr="002A3EAD">
              <w:rPr>
                <w:b/>
              </w:rPr>
              <w:t>1/2</w:t>
            </w:r>
            <w:r w:rsidR="008F7EC2" w:rsidRPr="002A3EAD">
              <w:rPr>
                <w:b/>
              </w:rPr>
              <w:t xml:space="preserve"> </w:t>
            </w:r>
            <w:r w:rsidRPr="002A3EAD">
              <w:rPr>
                <w:b/>
              </w:rPr>
              <w:t>(%)</w:t>
            </w:r>
          </w:p>
        </w:tc>
      </w:tr>
      <w:tr w:rsidR="001615A2" w:rsidRPr="002A3EAD" w:rsidTr="00B43E2D">
        <w:trPr>
          <w:trHeight w:val="330"/>
        </w:trPr>
        <w:tc>
          <w:tcPr>
            <w:tcW w:w="2363" w:type="pct"/>
            <w:vAlign w:val="bottom"/>
          </w:tcPr>
          <w:p w:rsidR="001615A2" w:rsidRPr="002A3EAD" w:rsidRDefault="001615A2" w:rsidP="0049372C">
            <w:pPr>
              <w:rPr>
                <w:b/>
              </w:rPr>
            </w:pPr>
          </w:p>
        </w:tc>
        <w:tc>
          <w:tcPr>
            <w:tcW w:w="1108" w:type="pct"/>
            <w:vAlign w:val="center"/>
          </w:tcPr>
          <w:p w:rsidR="001615A2" w:rsidRPr="002A3EAD" w:rsidRDefault="002B1694" w:rsidP="009F6C61">
            <w:pPr>
              <w:jc w:val="center"/>
              <w:rPr>
                <w:b/>
              </w:rPr>
            </w:pPr>
            <w:r w:rsidRPr="002A3EAD">
              <w:rPr>
                <w:b/>
              </w:rPr>
              <w:t xml:space="preserve">Към </w:t>
            </w:r>
            <w:r w:rsidR="00DE7DC7">
              <w:rPr>
                <w:b/>
                <w:lang w:val="en-US"/>
              </w:rPr>
              <w:t>3</w:t>
            </w:r>
            <w:r w:rsidR="000847E3">
              <w:rPr>
                <w:b/>
                <w:lang w:val="en-US"/>
              </w:rPr>
              <w:t>0</w:t>
            </w:r>
            <w:r w:rsidR="00DE7DC7">
              <w:rPr>
                <w:b/>
                <w:lang w:val="en-US"/>
              </w:rPr>
              <w:t>.0</w:t>
            </w:r>
            <w:r w:rsidR="000847E3">
              <w:rPr>
                <w:b/>
                <w:lang w:val="en-US"/>
              </w:rPr>
              <w:t>9</w:t>
            </w:r>
            <w:r w:rsidR="00DE7DC7">
              <w:rPr>
                <w:b/>
                <w:lang w:val="en-US"/>
              </w:rPr>
              <w:t>.</w:t>
            </w:r>
            <w:r w:rsidR="000D2F09" w:rsidRPr="002A3EAD">
              <w:rPr>
                <w:b/>
              </w:rPr>
              <w:t>201</w:t>
            </w:r>
            <w:r w:rsidR="00AD019E">
              <w:rPr>
                <w:b/>
              </w:rPr>
              <w:t>8</w:t>
            </w:r>
            <w:r w:rsidR="003F0A37" w:rsidRPr="002A3EAD">
              <w:rPr>
                <w:b/>
                <w:lang w:val="en-US"/>
              </w:rPr>
              <w:t xml:space="preserve"> </w:t>
            </w:r>
            <w:r w:rsidR="001615A2" w:rsidRPr="002A3EAD">
              <w:rPr>
                <w:b/>
              </w:rPr>
              <w:t>г.</w:t>
            </w:r>
          </w:p>
        </w:tc>
        <w:tc>
          <w:tcPr>
            <w:tcW w:w="1007" w:type="pct"/>
            <w:vAlign w:val="center"/>
          </w:tcPr>
          <w:p w:rsidR="001615A2" w:rsidRPr="002A3EAD" w:rsidRDefault="000D2F09" w:rsidP="00FC15F1">
            <w:pPr>
              <w:jc w:val="center"/>
              <w:rPr>
                <w:b/>
              </w:rPr>
            </w:pPr>
            <w:r w:rsidRPr="002A3EAD">
              <w:rPr>
                <w:b/>
              </w:rPr>
              <w:t>Към 31.12.201</w:t>
            </w:r>
            <w:r w:rsidR="00AD019E">
              <w:rPr>
                <w:b/>
              </w:rPr>
              <w:t>7</w:t>
            </w:r>
            <w:r w:rsidR="001615A2" w:rsidRPr="002A3EAD">
              <w:rPr>
                <w:b/>
              </w:rPr>
              <w:t xml:space="preserve"> г.</w:t>
            </w:r>
          </w:p>
        </w:tc>
        <w:tc>
          <w:tcPr>
            <w:tcW w:w="522" w:type="pct"/>
            <w:vAlign w:val="bottom"/>
          </w:tcPr>
          <w:p w:rsidR="001615A2" w:rsidRPr="002A3EAD" w:rsidRDefault="001615A2" w:rsidP="0049372C">
            <w:pPr>
              <w:jc w:val="right"/>
              <w:rPr>
                <w:b/>
              </w:rPr>
            </w:pPr>
          </w:p>
        </w:tc>
      </w:tr>
      <w:tr w:rsidR="0083788D" w:rsidRPr="0028499D" w:rsidTr="0083788D">
        <w:trPr>
          <w:trHeight w:val="242"/>
        </w:trPr>
        <w:tc>
          <w:tcPr>
            <w:tcW w:w="2363" w:type="pct"/>
            <w:vAlign w:val="bottom"/>
          </w:tcPr>
          <w:p w:rsidR="0083788D" w:rsidRPr="00082F0A" w:rsidRDefault="0083788D" w:rsidP="0083788D">
            <w:pPr>
              <w:rPr>
                <w:b/>
              </w:rPr>
            </w:pPr>
            <w:r w:rsidRPr="00082F0A">
              <w:rPr>
                <w:b/>
              </w:rPr>
              <w:t>Нетекущи активи</w:t>
            </w:r>
          </w:p>
        </w:tc>
        <w:tc>
          <w:tcPr>
            <w:tcW w:w="1108" w:type="pct"/>
            <w:shd w:val="clear" w:color="auto" w:fill="auto"/>
            <w:vAlign w:val="bottom"/>
          </w:tcPr>
          <w:p w:rsidR="0083788D" w:rsidRPr="0083788D" w:rsidRDefault="0083788D" w:rsidP="0083788D">
            <w:pPr>
              <w:jc w:val="right"/>
              <w:rPr>
                <w:b/>
                <w:lang w:eastAsia="bg-BG"/>
              </w:rPr>
            </w:pPr>
            <w:r w:rsidRPr="0083788D">
              <w:rPr>
                <w:b/>
              </w:rPr>
              <w:t>218,779</w:t>
            </w:r>
          </w:p>
        </w:tc>
        <w:tc>
          <w:tcPr>
            <w:tcW w:w="1007" w:type="pct"/>
            <w:shd w:val="clear" w:color="auto" w:fill="auto"/>
            <w:vAlign w:val="bottom"/>
          </w:tcPr>
          <w:p w:rsidR="0083788D" w:rsidRPr="0083788D" w:rsidRDefault="0083788D" w:rsidP="0083788D">
            <w:pPr>
              <w:jc w:val="right"/>
              <w:rPr>
                <w:b/>
              </w:rPr>
            </w:pPr>
            <w:r w:rsidRPr="0083788D">
              <w:rPr>
                <w:b/>
              </w:rPr>
              <w:t>221,398</w:t>
            </w:r>
          </w:p>
        </w:tc>
        <w:tc>
          <w:tcPr>
            <w:tcW w:w="522" w:type="pct"/>
            <w:shd w:val="clear" w:color="auto" w:fill="auto"/>
            <w:vAlign w:val="bottom"/>
          </w:tcPr>
          <w:p w:rsidR="0083788D" w:rsidRPr="0083788D" w:rsidRDefault="0083788D" w:rsidP="0083788D">
            <w:pPr>
              <w:jc w:val="right"/>
              <w:rPr>
                <w:b/>
              </w:rPr>
            </w:pPr>
            <w:r w:rsidRPr="0083788D">
              <w:rPr>
                <w:b/>
              </w:rPr>
              <w:t>-1.2%</w:t>
            </w:r>
          </w:p>
        </w:tc>
      </w:tr>
      <w:tr w:rsidR="0083788D" w:rsidRPr="0028499D" w:rsidTr="0083788D">
        <w:trPr>
          <w:trHeight w:val="315"/>
        </w:trPr>
        <w:tc>
          <w:tcPr>
            <w:tcW w:w="2363" w:type="pct"/>
            <w:vAlign w:val="bottom"/>
          </w:tcPr>
          <w:p w:rsidR="0083788D" w:rsidRPr="00082F0A" w:rsidRDefault="0083788D" w:rsidP="0083788D">
            <w:pPr>
              <w:rPr>
                <w:b/>
              </w:rPr>
            </w:pPr>
            <w:r w:rsidRPr="00082F0A">
              <w:rPr>
                <w:b/>
              </w:rPr>
              <w:t>Текущи активи, в т.ч.:</w:t>
            </w:r>
          </w:p>
        </w:tc>
        <w:tc>
          <w:tcPr>
            <w:tcW w:w="1108" w:type="pct"/>
            <w:shd w:val="clear" w:color="auto" w:fill="auto"/>
            <w:vAlign w:val="bottom"/>
          </w:tcPr>
          <w:p w:rsidR="0083788D" w:rsidRPr="0083788D" w:rsidRDefault="0083788D" w:rsidP="0083788D">
            <w:pPr>
              <w:jc w:val="right"/>
              <w:rPr>
                <w:b/>
              </w:rPr>
            </w:pPr>
            <w:r w:rsidRPr="0083788D">
              <w:rPr>
                <w:b/>
              </w:rPr>
              <w:t>202,421</w:t>
            </w:r>
          </w:p>
        </w:tc>
        <w:tc>
          <w:tcPr>
            <w:tcW w:w="1007" w:type="pct"/>
            <w:shd w:val="clear" w:color="auto" w:fill="auto"/>
            <w:vAlign w:val="bottom"/>
          </w:tcPr>
          <w:p w:rsidR="0083788D" w:rsidRPr="0083788D" w:rsidRDefault="0083788D" w:rsidP="0083788D">
            <w:pPr>
              <w:jc w:val="right"/>
              <w:rPr>
                <w:b/>
              </w:rPr>
            </w:pPr>
            <w:r w:rsidRPr="0083788D">
              <w:rPr>
                <w:b/>
              </w:rPr>
              <w:t>201,945</w:t>
            </w:r>
          </w:p>
        </w:tc>
        <w:tc>
          <w:tcPr>
            <w:tcW w:w="522" w:type="pct"/>
            <w:shd w:val="clear" w:color="auto" w:fill="auto"/>
            <w:vAlign w:val="bottom"/>
          </w:tcPr>
          <w:p w:rsidR="0083788D" w:rsidRPr="0083788D" w:rsidRDefault="0083788D" w:rsidP="0083788D">
            <w:pPr>
              <w:jc w:val="right"/>
              <w:rPr>
                <w:b/>
              </w:rPr>
            </w:pPr>
            <w:r w:rsidRPr="0083788D">
              <w:rPr>
                <w:b/>
              </w:rPr>
              <w:t>0.2%</w:t>
            </w:r>
          </w:p>
        </w:tc>
      </w:tr>
      <w:tr w:rsidR="0083788D" w:rsidRPr="002A3EAD" w:rsidTr="0083788D">
        <w:trPr>
          <w:trHeight w:val="315"/>
        </w:trPr>
        <w:tc>
          <w:tcPr>
            <w:tcW w:w="2363" w:type="pct"/>
            <w:vAlign w:val="bottom"/>
          </w:tcPr>
          <w:p w:rsidR="0083788D" w:rsidRPr="002A3EAD" w:rsidRDefault="0083788D" w:rsidP="0083788D">
            <w:r w:rsidRPr="002A3EAD">
              <w:t>Материални запаси</w:t>
            </w:r>
          </w:p>
        </w:tc>
        <w:tc>
          <w:tcPr>
            <w:tcW w:w="1108" w:type="pct"/>
            <w:shd w:val="clear" w:color="auto" w:fill="auto"/>
            <w:vAlign w:val="bottom"/>
          </w:tcPr>
          <w:p w:rsidR="0083788D" w:rsidRPr="0083788D" w:rsidRDefault="0083788D" w:rsidP="0083788D">
            <w:pPr>
              <w:jc w:val="right"/>
            </w:pPr>
            <w:r w:rsidRPr="0083788D">
              <w:t>1,578</w:t>
            </w:r>
          </w:p>
        </w:tc>
        <w:tc>
          <w:tcPr>
            <w:tcW w:w="1007" w:type="pct"/>
            <w:shd w:val="clear" w:color="auto" w:fill="auto"/>
            <w:vAlign w:val="bottom"/>
          </w:tcPr>
          <w:p w:rsidR="0083788D" w:rsidRPr="0083788D" w:rsidRDefault="0083788D" w:rsidP="0083788D">
            <w:pPr>
              <w:jc w:val="right"/>
            </w:pPr>
            <w:r w:rsidRPr="0083788D">
              <w:t>1,706</w:t>
            </w:r>
          </w:p>
        </w:tc>
        <w:tc>
          <w:tcPr>
            <w:tcW w:w="522" w:type="pct"/>
            <w:shd w:val="clear" w:color="auto" w:fill="auto"/>
            <w:vAlign w:val="bottom"/>
          </w:tcPr>
          <w:p w:rsidR="0083788D" w:rsidRPr="0083788D" w:rsidRDefault="0083788D" w:rsidP="0083788D">
            <w:pPr>
              <w:jc w:val="right"/>
            </w:pPr>
            <w:r w:rsidRPr="0083788D">
              <w:t>-7.5%</w:t>
            </w:r>
          </w:p>
        </w:tc>
      </w:tr>
      <w:tr w:rsidR="0083788D" w:rsidRPr="002A3EAD" w:rsidTr="0083788D">
        <w:trPr>
          <w:trHeight w:val="315"/>
        </w:trPr>
        <w:tc>
          <w:tcPr>
            <w:tcW w:w="2363" w:type="pct"/>
            <w:vAlign w:val="bottom"/>
          </w:tcPr>
          <w:p w:rsidR="0083788D" w:rsidRPr="002A3EAD" w:rsidRDefault="0083788D" w:rsidP="0083788D">
            <w:pPr>
              <w:pStyle w:val="FootnoteText"/>
              <w:rPr>
                <w:sz w:val="24"/>
                <w:szCs w:val="24"/>
              </w:rPr>
            </w:pPr>
            <w:r w:rsidRPr="002A3EAD">
              <w:rPr>
                <w:sz w:val="24"/>
                <w:szCs w:val="24"/>
              </w:rPr>
              <w:t>Краткосрочни вземания</w:t>
            </w:r>
          </w:p>
        </w:tc>
        <w:tc>
          <w:tcPr>
            <w:tcW w:w="1108" w:type="pct"/>
            <w:shd w:val="clear" w:color="auto" w:fill="auto"/>
            <w:vAlign w:val="bottom"/>
          </w:tcPr>
          <w:p w:rsidR="0083788D" w:rsidRPr="0083788D" w:rsidRDefault="0083788D" w:rsidP="0083788D">
            <w:pPr>
              <w:jc w:val="right"/>
            </w:pPr>
            <w:r w:rsidRPr="0083788D">
              <w:t>53,066</w:t>
            </w:r>
          </w:p>
        </w:tc>
        <w:tc>
          <w:tcPr>
            <w:tcW w:w="1007" w:type="pct"/>
            <w:shd w:val="clear" w:color="auto" w:fill="auto"/>
            <w:vAlign w:val="bottom"/>
          </w:tcPr>
          <w:p w:rsidR="0083788D" w:rsidRPr="0083788D" w:rsidRDefault="0083788D" w:rsidP="0083788D">
            <w:pPr>
              <w:jc w:val="right"/>
            </w:pPr>
            <w:r w:rsidRPr="0083788D">
              <w:t>47,845</w:t>
            </w:r>
          </w:p>
        </w:tc>
        <w:tc>
          <w:tcPr>
            <w:tcW w:w="522" w:type="pct"/>
            <w:shd w:val="clear" w:color="auto" w:fill="auto"/>
            <w:vAlign w:val="bottom"/>
          </w:tcPr>
          <w:p w:rsidR="0083788D" w:rsidRPr="0083788D" w:rsidRDefault="0083788D" w:rsidP="0083788D">
            <w:pPr>
              <w:jc w:val="right"/>
            </w:pPr>
            <w:r w:rsidRPr="0083788D">
              <w:t>10.9%</w:t>
            </w:r>
          </w:p>
        </w:tc>
      </w:tr>
      <w:tr w:rsidR="0083788D" w:rsidRPr="002A3EAD" w:rsidTr="0083788D">
        <w:trPr>
          <w:trHeight w:val="315"/>
        </w:trPr>
        <w:tc>
          <w:tcPr>
            <w:tcW w:w="2363" w:type="pct"/>
            <w:vAlign w:val="bottom"/>
          </w:tcPr>
          <w:p w:rsidR="0083788D" w:rsidRPr="002A3EAD" w:rsidRDefault="0083788D" w:rsidP="0083788D">
            <w:r w:rsidRPr="002A3EAD">
              <w:t>Парични средства</w:t>
            </w:r>
          </w:p>
        </w:tc>
        <w:tc>
          <w:tcPr>
            <w:tcW w:w="1108" w:type="pct"/>
            <w:shd w:val="clear" w:color="auto" w:fill="auto"/>
            <w:vAlign w:val="bottom"/>
          </w:tcPr>
          <w:p w:rsidR="0083788D" w:rsidRPr="0083788D" w:rsidRDefault="0083788D" w:rsidP="0083788D">
            <w:pPr>
              <w:jc w:val="right"/>
            </w:pPr>
            <w:r w:rsidRPr="0083788D">
              <w:t>143,591</w:t>
            </w:r>
          </w:p>
        </w:tc>
        <w:tc>
          <w:tcPr>
            <w:tcW w:w="1007" w:type="pct"/>
            <w:shd w:val="clear" w:color="auto" w:fill="auto"/>
            <w:vAlign w:val="bottom"/>
          </w:tcPr>
          <w:p w:rsidR="0083788D" w:rsidRPr="0083788D" w:rsidRDefault="0083788D" w:rsidP="0083788D">
            <w:pPr>
              <w:jc w:val="right"/>
            </w:pPr>
            <w:r w:rsidRPr="0083788D">
              <w:t>149,437</w:t>
            </w:r>
          </w:p>
        </w:tc>
        <w:tc>
          <w:tcPr>
            <w:tcW w:w="522" w:type="pct"/>
            <w:shd w:val="clear" w:color="auto" w:fill="auto"/>
            <w:vAlign w:val="bottom"/>
          </w:tcPr>
          <w:p w:rsidR="0083788D" w:rsidRPr="0083788D" w:rsidRDefault="0083788D" w:rsidP="0083788D">
            <w:pPr>
              <w:jc w:val="right"/>
            </w:pPr>
            <w:r w:rsidRPr="0083788D">
              <w:t>-3.9%</w:t>
            </w:r>
          </w:p>
        </w:tc>
      </w:tr>
      <w:tr w:rsidR="0083788D" w:rsidRPr="00126DF3" w:rsidTr="0083788D">
        <w:trPr>
          <w:trHeight w:val="315"/>
        </w:trPr>
        <w:tc>
          <w:tcPr>
            <w:tcW w:w="2363" w:type="pct"/>
            <w:vAlign w:val="bottom"/>
          </w:tcPr>
          <w:p w:rsidR="0083788D" w:rsidRPr="00082F0A" w:rsidRDefault="0083788D" w:rsidP="0083788D">
            <w:pPr>
              <w:rPr>
                <w:b/>
              </w:rPr>
            </w:pPr>
            <w:r w:rsidRPr="00082F0A">
              <w:rPr>
                <w:b/>
              </w:rPr>
              <w:t>Текущи пасиви, в т.ч.:</w:t>
            </w:r>
          </w:p>
        </w:tc>
        <w:tc>
          <w:tcPr>
            <w:tcW w:w="1108" w:type="pct"/>
            <w:shd w:val="clear" w:color="auto" w:fill="auto"/>
            <w:vAlign w:val="bottom"/>
          </w:tcPr>
          <w:p w:rsidR="0083788D" w:rsidRPr="0083788D" w:rsidRDefault="0083788D" w:rsidP="0083788D">
            <w:pPr>
              <w:jc w:val="right"/>
              <w:rPr>
                <w:b/>
              </w:rPr>
            </w:pPr>
            <w:r w:rsidRPr="0083788D">
              <w:rPr>
                <w:b/>
              </w:rPr>
              <w:t>45,441</w:t>
            </w:r>
          </w:p>
        </w:tc>
        <w:tc>
          <w:tcPr>
            <w:tcW w:w="1007" w:type="pct"/>
            <w:shd w:val="clear" w:color="auto" w:fill="auto"/>
            <w:vAlign w:val="bottom"/>
          </w:tcPr>
          <w:p w:rsidR="0083788D" w:rsidRPr="0083788D" w:rsidRDefault="0083788D" w:rsidP="0083788D">
            <w:pPr>
              <w:jc w:val="right"/>
              <w:rPr>
                <w:b/>
              </w:rPr>
            </w:pPr>
            <w:r w:rsidRPr="0083788D">
              <w:rPr>
                <w:b/>
              </w:rPr>
              <w:t>74,929</w:t>
            </w:r>
          </w:p>
        </w:tc>
        <w:tc>
          <w:tcPr>
            <w:tcW w:w="522" w:type="pct"/>
            <w:shd w:val="clear" w:color="auto" w:fill="auto"/>
            <w:vAlign w:val="bottom"/>
          </w:tcPr>
          <w:p w:rsidR="0083788D" w:rsidRPr="0083788D" w:rsidRDefault="0083788D" w:rsidP="0083788D">
            <w:pPr>
              <w:jc w:val="right"/>
              <w:rPr>
                <w:b/>
              </w:rPr>
            </w:pPr>
            <w:r w:rsidRPr="0083788D">
              <w:rPr>
                <w:b/>
              </w:rPr>
              <w:t>-39.4%</w:t>
            </w:r>
          </w:p>
        </w:tc>
      </w:tr>
      <w:tr w:rsidR="0083788D" w:rsidRPr="002A3EAD" w:rsidTr="0083788D">
        <w:trPr>
          <w:trHeight w:val="315"/>
        </w:trPr>
        <w:tc>
          <w:tcPr>
            <w:tcW w:w="2363" w:type="pct"/>
            <w:vAlign w:val="bottom"/>
          </w:tcPr>
          <w:p w:rsidR="0083788D" w:rsidRPr="002A3EAD" w:rsidRDefault="0083788D" w:rsidP="0083788D">
            <w:r w:rsidRPr="002A3EAD">
              <w:t>Краткосрочни задължения</w:t>
            </w:r>
          </w:p>
        </w:tc>
        <w:tc>
          <w:tcPr>
            <w:tcW w:w="1108" w:type="pct"/>
            <w:shd w:val="clear" w:color="auto" w:fill="auto"/>
            <w:vAlign w:val="bottom"/>
          </w:tcPr>
          <w:p w:rsidR="0083788D" w:rsidRPr="0083788D" w:rsidRDefault="0083788D" w:rsidP="0083788D">
            <w:pPr>
              <w:jc w:val="right"/>
            </w:pPr>
            <w:r w:rsidRPr="0083788D">
              <w:t>25,984</w:t>
            </w:r>
          </w:p>
        </w:tc>
        <w:tc>
          <w:tcPr>
            <w:tcW w:w="1007" w:type="pct"/>
            <w:shd w:val="clear" w:color="auto" w:fill="auto"/>
            <w:vAlign w:val="bottom"/>
          </w:tcPr>
          <w:p w:rsidR="0083788D" w:rsidRPr="0083788D" w:rsidRDefault="0083788D" w:rsidP="0083788D">
            <w:pPr>
              <w:jc w:val="right"/>
            </w:pPr>
            <w:r w:rsidRPr="0083788D">
              <w:t>23,738</w:t>
            </w:r>
          </w:p>
        </w:tc>
        <w:tc>
          <w:tcPr>
            <w:tcW w:w="522" w:type="pct"/>
            <w:shd w:val="clear" w:color="auto" w:fill="auto"/>
            <w:vAlign w:val="bottom"/>
          </w:tcPr>
          <w:p w:rsidR="0083788D" w:rsidRPr="0083788D" w:rsidRDefault="0083788D" w:rsidP="0083788D">
            <w:pPr>
              <w:jc w:val="right"/>
            </w:pPr>
            <w:r w:rsidRPr="0083788D">
              <w:t>9.5%</w:t>
            </w:r>
          </w:p>
        </w:tc>
      </w:tr>
      <w:tr w:rsidR="0083788D" w:rsidRPr="00216E06" w:rsidTr="0083788D">
        <w:trPr>
          <w:trHeight w:val="315"/>
        </w:trPr>
        <w:tc>
          <w:tcPr>
            <w:tcW w:w="2363" w:type="pct"/>
            <w:vAlign w:val="bottom"/>
          </w:tcPr>
          <w:p w:rsidR="0083788D" w:rsidRPr="00082F0A" w:rsidRDefault="0083788D" w:rsidP="0083788D">
            <w:pPr>
              <w:rPr>
                <w:b/>
              </w:rPr>
            </w:pPr>
            <w:r w:rsidRPr="00082F0A">
              <w:rPr>
                <w:b/>
              </w:rPr>
              <w:t xml:space="preserve">Работен капитал </w:t>
            </w:r>
          </w:p>
        </w:tc>
        <w:tc>
          <w:tcPr>
            <w:tcW w:w="1108" w:type="pct"/>
            <w:shd w:val="clear" w:color="auto" w:fill="auto"/>
            <w:vAlign w:val="bottom"/>
          </w:tcPr>
          <w:p w:rsidR="0083788D" w:rsidRPr="0083788D" w:rsidRDefault="0083788D" w:rsidP="0083788D">
            <w:pPr>
              <w:jc w:val="right"/>
              <w:rPr>
                <w:b/>
              </w:rPr>
            </w:pPr>
            <w:r w:rsidRPr="0083788D">
              <w:rPr>
                <w:b/>
              </w:rPr>
              <w:t>156,980</w:t>
            </w:r>
          </w:p>
        </w:tc>
        <w:tc>
          <w:tcPr>
            <w:tcW w:w="1007" w:type="pct"/>
            <w:shd w:val="clear" w:color="auto" w:fill="auto"/>
            <w:vAlign w:val="bottom"/>
          </w:tcPr>
          <w:p w:rsidR="0083788D" w:rsidRPr="0083788D" w:rsidRDefault="0083788D" w:rsidP="0083788D">
            <w:pPr>
              <w:jc w:val="right"/>
              <w:rPr>
                <w:b/>
              </w:rPr>
            </w:pPr>
            <w:r w:rsidRPr="0083788D">
              <w:rPr>
                <w:b/>
              </w:rPr>
              <w:t>127,016</w:t>
            </w:r>
          </w:p>
        </w:tc>
        <w:tc>
          <w:tcPr>
            <w:tcW w:w="522" w:type="pct"/>
            <w:shd w:val="clear" w:color="auto" w:fill="auto"/>
            <w:vAlign w:val="bottom"/>
          </w:tcPr>
          <w:p w:rsidR="0083788D" w:rsidRPr="0083788D" w:rsidRDefault="0083788D" w:rsidP="0083788D">
            <w:pPr>
              <w:jc w:val="right"/>
              <w:rPr>
                <w:b/>
              </w:rPr>
            </w:pPr>
            <w:r w:rsidRPr="0083788D">
              <w:rPr>
                <w:b/>
              </w:rPr>
              <w:t>23.6%</w:t>
            </w:r>
          </w:p>
        </w:tc>
      </w:tr>
      <w:tr w:rsidR="0083788D" w:rsidRPr="00216E06" w:rsidTr="0083788D">
        <w:trPr>
          <w:trHeight w:val="315"/>
        </w:trPr>
        <w:tc>
          <w:tcPr>
            <w:tcW w:w="2363" w:type="pct"/>
            <w:vAlign w:val="bottom"/>
          </w:tcPr>
          <w:p w:rsidR="0083788D" w:rsidRPr="00082F0A" w:rsidRDefault="0083788D" w:rsidP="0083788D">
            <w:pPr>
              <w:rPr>
                <w:b/>
              </w:rPr>
            </w:pPr>
            <w:r w:rsidRPr="00082F0A">
              <w:rPr>
                <w:b/>
              </w:rPr>
              <w:t>Зает капитал</w:t>
            </w:r>
          </w:p>
        </w:tc>
        <w:tc>
          <w:tcPr>
            <w:tcW w:w="1108" w:type="pct"/>
            <w:shd w:val="clear" w:color="auto" w:fill="auto"/>
            <w:vAlign w:val="bottom"/>
          </w:tcPr>
          <w:p w:rsidR="0083788D" w:rsidRPr="0083788D" w:rsidRDefault="0083788D" w:rsidP="0083788D">
            <w:pPr>
              <w:jc w:val="right"/>
              <w:rPr>
                <w:b/>
              </w:rPr>
            </w:pPr>
            <w:r w:rsidRPr="0083788D">
              <w:rPr>
                <w:b/>
              </w:rPr>
              <w:t>375,759</w:t>
            </w:r>
          </w:p>
        </w:tc>
        <w:tc>
          <w:tcPr>
            <w:tcW w:w="1007" w:type="pct"/>
            <w:shd w:val="clear" w:color="auto" w:fill="auto"/>
            <w:vAlign w:val="bottom"/>
          </w:tcPr>
          <w:p w:rsidR="0083788D" w:rsidRPr="0083788D" w:rsidRDefault="0083788D" w:rsidP="0083788D">
            <w:pPr>
              <w:jc w:val="right"/>
              <w:rPr>
                <w:b/>
              </w:rPr>
            </w:pPr>
            <w:r w:rsidRPr="0083788D">
              <w:rPr>
                <w:b/>
              </w:rPr>
              <w:t>348,414</w:t>
            </w:r>
          </w:p>
        </w:tc>
        <w:tc>
          <w:tcPr>
            <w:tcW w:w="522" w:type="pct"/>
            <w:shd w:val="clear" w:color="auto" w:fill="auto"/>
            <w:vAlign w:val="bottom"/>
          </w:tcPr>
          <w:p w:rsidR="0083788D" w:rsidRPr="0083788D" w:rsidRDefault="0083788D" w:rsidP="0083788D">
            <w:pPr>
              <w:jc w:val="right"/>
              <w:rPr>
                <w:b/>
              </w:rPr>
            </w:pPr>
            <w:r w:rsidRPr="0083788D">
              <w:rPr>
                <w:b/>
              </w:rPr>
              <w:t>7.8%</w:t>
            </w:r>
          </w:p>
        </w:tc>
      </w:tr>
      <w:tr w:rsidR="0083788D" w:rsidRPr="00216E06" w:rsidTr="0083788D">
        <w:trPr>
          <w:trHeight w:val="315"/>
        </w:trPr>
        <w:tc>
          <w:tcPr>
            <w:tcW w:w="2363" w:type="pct"/>
            <w:vAlign w:val="bottom"/>
          </w:tcPr>
          <w:p w:rsidR="0083788D" w:rsidRPr="00082F0A" w:rsidRDefault="0083788D" w:rsidP="0083788D">
            <w:pPr>
              <w:rPr>
                <w:b/>
              </w:rPr>
            </w:pPr>
            <w:r w:rsidRPr="00082F0A">
              <w:rPr>
                <w:b/>
              </w:rPr>
              <w:t>Нетекущи пасиви</w:t>
            </w:r>
          </w:p>
        </w:tc>
        <w:tc>
          <w:tcPr>
            <w:tcW w:w="1108" w:type="pct"/>
            <w:shd w:val="clear" w:color="auto" w:fill="auto"/>
            <w:vAlign w:val="bottom"/>
          </w:tcPr>
          <w:p w:rsidR="0083788D" w:rsidRPr="0083788D" w:rsidRDefault="0083788D" w:rsidP="0083788D">
            <w:pPr>
              <w:jc w:val="right"/>
              <w:rPr>
                <w:b/>
              </w:rPr>
            </w:pPr>
            <w:r w:rsidRPr="0083788D">
              <w:rPr>
                <w:b/>
              </w:rPr>
              <w:t>21,022</w:t>
            </w:r>
          </w:p>
        </w:tc>
        <w:tc>
          <w:tcPr>
            <w:tcW w:w="1007" w:type="pct"/>
            <w:shd w:val="clear" w:color="auto" w:fill="auto"/>
            <w:vAlign w:val="bottom"/>
          </w:tcPr>
          <w:p w:rsidR="0083788D" w:rsidRPr="0083788D" w:rsidRDefault="0083788D" w:rsidP="0083788D">
            <w:pPr>
              <w:jc w:val="right"/>
              <w:rPr>
                <w:b/>
              </w:rPr>
            </w:pPr>
            <w:r w:rsidRPr="0083788D">
              <w:rPr>
                <w:b/>
              </w:rPr>
              <w:t>13,958</w:t>
            </w:r>
          </w:p>
        </w:tc>
        <w:tc>
          <w:tcPr>
            <w:tcW w:w="522" w:type="pct"/>
            <w:shd w:val="clear" w:color="auto" w:fill="auto"/>
            <w:vAlign w:val="bottom"/>
          </w:tcPr>
          <w:p w:rsidR="0083788D" w:rsidRPr="0083788D" w:rsidRDefault="0083788D" w:rsidP="0083788D">
            <w:pPr>
              <w:jc w:val="right"/>
              <w:rPr>
                <w:b/>
              </w:rPr>
            </w:pPr>
            <w:r w:rsidRPr="0083788D">
              <w:rPr>
                <w:b/>
              </w:rPr>
              <w:t>50.6%</w:t>
            </w:r>
          </w:p>
        </w:tc>
      </w:tr>
      <w:tr w:rsidR="0083788D" w:rsidRPr="002A3EAD" w:rsidTr="0083788D">
        <w:trPr>
          <w:trHeight w:val="315"/>
        </w:trPr>
        <w:tc>
          <w:tcPr>
            <w:tcW w:w="2363" w:type="pct"/>
            <w:vAlign w:val="bottom"/>
          </w:tcPr>
          <w:p w:rsidR="0083788D" w:rsidRPr="00954096" w:rsidRDefault="0083788D" w:rsidP="0083788D">
            <w:r w:rsidRPr="00954096">
              <w:t>Други</w:t>
            </w:r>
          </w:p>
        </w:tc>
        <w:tc>
          <w:tcPr>
            <w:tcW w:w="1108" w:type="pct"/>
            <w:shd w:val="clear" w:color="auto" w:fill="auto"/>
            <w:vAlign w:val="bottom"/>
          </w:tcPr>
          <w:p w:rsidR="0083788D" w:rsidRPr="0083788D" w:rsidRDefault="0083788D" w:rsidP="0083788D">
            <w:r w:rsidRPr="0083788D">
              <w:t> </w:t>
            </w:r>
          </w:p>
        </w:tc>
        <w:tc>
          <w:tcPr>
            <w:tcW w:w="1007" w:type="pct"/>
            <w:shd w:val="clear" w:color="auto" w:fill="auto"/>
            <w:vAlign w:val="bottom"/>
          </w:tcPr>
          <w:p w:rsidR="0083788D" w:rsidRPr="0083788D" w:rsidRDefault="0083788D" w:rsidP="0083788D">
            <w:r w:rsidRPr="0083788D">
              <w:t> </w:t>
            </w:r>
          </w:p>
        </w:tc>
        <w:tc>
          <w:tcPr>
            <w:tcW w:w="522" w:type="pct"/>
            <w:shd w:val="clear" w:color="auto" w:fill="auto"/>
            <w:vAlign w:val="bottom"/>
          </w:tcPr>
          <w:p w:rsidR="0083788D" w:rsidRPr="0083788D" w:rsidRDefault="0083788D" w:rsidP="0083788D">
            <w:r w:rsidRPr="0083788D">
              <w:t> </w:t>
            </w:r>
          </w:p>
        </w:tc>
      </w:tr>
      <w:tr w:rsidR="0083788D" w:rsidRPr="0028499D" w:rsidTr="0083788D">
        <w:trPr>
          <w:trHeight w:val="315"/>
        </w:trPr>
        <w:tc>
          <w:tcPr>
            <w:tcW w:w="2363" w:type="pct"/>
            <w:vAlign w:val="bottom"/>
          </w:tcPr>
          <w:p w:rsidR="0083788D" w:rsidRPr="00082F0A" w:rsidRDefault="0083788D" w:rsidP="0083788D">
            <w:pPr>
              <w:rPr>
                <w:b/>
              </w:rPr>
            </w:pPr>
            <w:r w:rsidRPr="00082F0A">
              <w:rPr>
                <w:b/>
              </w:rPr>
              <w:t xml:space="preserve">Чиста стойност на активите </w:t>
            </w:r>
          </w:p>
        </w:tc>
        <w:tc>
          <w:tcPr>
            <w:tcW w:w="1108" w:type="pct"/>
            <w:shd w:val="clear" w:color="auto" w:fill="auto"/>
            <w:vAlign w:val="bottom"/>
          </w:tcPr>
          <w:p w:rsidR="0083788D" w:rsidRPr="0083788D" w:rsidRDefault="0083788D" w:rsidP="0083788D">
            <w:pPr>
              <w:jc w:val="right"/>
              <w:rPr>
                <w:b/>
              </w:rPr>
            </w:pPr>
            <w:r w:rsidRPr="0083788D">
              <w:rPr>
                <w:b/>
              </w:rPr>
              <w:t>354,737</w:t>
            </w:r>
          </w:p>
        </w:tc>
        <w:tc>
          <w:tcPr>
            <w:tcW w:w="1007" w:type="pct"/>
            <w:shd w:val="clear" w:color="auto" w:fill="auto"/>
            <w:vAlign w:val="bottom"/>
          </w:tcPr>
          <w:p w:rsidR="0083788D" w:rsidRPr="0083788D" w:rsidRDefault="0083788D" w:rsidP="0083788D">
            <w:pPr>
              <w:jc w:val="right"/>
              <w:rPr>
                <w:b/>
              </w:rPr>
            </w:pPr>
            <w:r w:rsidRPr="0083788D">
              <w:rPr>
                <w:b/>
              </w:rPr>
              <w:t>334,456</w:t>
            </w:r>
          </w:p>
        </w:tc>
        <w:tc>
          <w:tcPr>
            <w:tcW w:w="522" w:type="pct"/>
            <w:shd w:val="clear" w:color="auto" w:fill="auto"/>
            <w:vAlign w:val="bottom"/>
          </w:tcPr>
          <w:p w:rsidR="0083788D" w:rsidRPr="0083788D" w:rsidRDefault="0083788D" w:rsidP="0083788D">
            <w:pPr>
              <w:jc w:val="right"/>
              <w:rPr>
                <w:b/>
              </w:rPr>
            </w:pPr>
            <w:r w:rsidRPr="0083788D">
              <w:rPr>
                <w:b/>
              </w:rPr>
              <w:t>6.1%</w:t>
            </w:r>
          </w:p>
        </w:tc>
      </w:tr>
      <w:tr w:rsidR="0083788D" w:rsidRPr="00A83C3C" w:rsidTr="0083788D">
        <w:trPr>
          <w:trHeight w:val="315"/>
        </w:trPr>
        <w:tc>
          <w:tcPr>
            <w:tcW w:w="2363" w:type="pct"/>
            <w:vAlign w:val="bottom"/>
          </w:tcPr>
          <w:p w:rsidR="0083788D" w:rsidRPr="00A83C3C" w:rsidRDefault="0083788D" w:rsidP="0083788D">
            <w:pPr>
              <w:rPr>
                <w:b/>
              </w:rPr>
            </w:pPr>
          </w:p>
        </w:tc>
        <w:tc>
          <w:tcPr>
            <w:tcW w:w="1108" w:type="pct"/>
            <w:shd w:val="clear" w:color="auto" w:fill="auto"/>
            <w:vAlign w:val="bottom"/>
          </w:tcPr>
          <w:p w:rsidR="0083788D" w:rsidRPr="0083788D" w:rsidRDefault="0083788D" w:rsidP="0083788D">
            <w:r w:rsidRPr="0083788D">
              <w:t> </w:t>
            </w:r>
          </w:p>
        </w:tc>
        <w:tc>
          <w:tcPr>
            <w:tcW w:w="1007" w:type="pct"/>
            <w:shd w:val="clear" w:color="auto" w:fill="auto"/>
            <w:vAlign w:val="bottom"/>
          </w:tcPr>
          <w:p w:rsidR="0083788D" w:rsidRPr="0083788D" w:rsidRDefault="0083788D" w:rsidP="0083788D">
            <w:r w:rsidRPr="0083788D">
              <w:t> </w:t>
            </w:r>
          </w:p>
        </w:tc>
        <w:tc>
          <w:tcPr>
            <w:tcW w:w="522" w:type="pct"/>
            <w:shd w:val="clear" w:color="auto" w:fill="auto"/>
            <w:vAlign w:val="bottom"/>
          </w:tcPr>
          <w:p w:rsidR="0083788D" w:rsidRPr="0083788D" w:rsidRDefault="0083788D" w:rsidP="0083788D">
            <w:r w:rsidRPr="0083788D">
              <w:t> </w:t>
            </w:r>
          </w:p>
        </w:tc>
      </w:tr>
      <w:tr w:rsidR="0083788D" w:rsidRPr="00082F0A" w:rsidTr="0083788D">
        <w:trPr>
          <w:trHeight w:val="315"/>
        </w:trPr>
        <w:tc>
          <w:tcPr>
            <w:tcW w:w="2363" w:type="pct"/>
            <w:vAlign w:val="bottom"/>
          </w:tcPr>
          <w:p w:rsidR="0083788D" w:rsidRPr="00E6377B" w:rsidRDefault="0083788D" w:rsidP="0083788D">
            <w:pPr>
              <w:pStyle w:val="FootnoteText"/>
              <w:rPr>
                <w:b/>
                <w:sz w:val="24"/>
                <w:szCs w:val="24"/>
              </w:rPr>
            </w:pPr>
            <w:r w:rsidRPr="00E6377B">
              <w:rPr>
                <w:b/>
                <w:sz w:val="24"/>
                <w:szCs w:val="24"/>
              </w:rPr>
              <w:t>Печалба</w:t>
            </w:r>
            <w:r w:rsidRPr="00E6377B">
              <w:rPr>
                <w:b/>
                <w:sz w:val="24"/>
                <w:szCs w:val="24"/>
                <w:lang w:val="en-US"/>
              </w:rPr>
              <w:t>/</w:t>
            </w:r>
            <w:r w:rsidRPr="00E6377B">
              <w:rPr>
                <w:b/>
                <w:sz w:val="24"/>
                <w:szCs w:val="24"/>
              </w:rPr>
              <w:t>(загуба)</w:t>
            </w:r>
          </w:p>
        </w:tc>
        <w:tc>
          <w:tcPr>
            <w:tcW w:w="1108" w:type="pct"/>
            <w:shd w:val="clear" w:color="auto" w:fill="auto"/>
            <w:vAlign w:val="bottom"/>
          </w:tcPr>
          <w:p w:rsidR="0083788D" w:rsidRPr="0083788D" w:rsidRDefault="0083788D" w:rsidP="0083788D">
            <w:pPr>
              <w:jc w:val="right"/>
              <w:rPr>
                <w:b/>
              </w:rPr>
            </w:pPr>
            <w:r w:rsidRPr="0083788D">
              <w:rPr>
                <w:b/>
              </w:rPr>
              <w:t>34,153</w:t>
            </w:r>
          </w:p>
        </w:tc>
        <w:tc>
          <w:tcPr>
            <w:tcW w:w="1007" w:type="pct"/>
            <w:shd w:val="clear" w:color="auto" w:fill="auto"/>
            <w:vAlign w:val="bottom"/>
          </w:tcPr>
          <w:p w:rsidR="0083788D" w:rsidRPr="002F229F" w:rsidRDefault="002F229F" w:rsidP="0083788D">
            <w:pPr>
              <w:jc w:val="right"/>
              <w:rPr>
                <w:b/>
                <w:lang w:val="en-US"/>
              </w:rPr>
            </w:pPr>
            <w:r>
              <w:rPr>
                <w:b/>
                <w:lang w:val="en-US"/>
              </w:rPr>
              <w:t>27,745</w:t>
            </w:r>
          </w:p>
        </w:tc>
        <w:tc>
          <w:tcPr>
            <w:tcW w:w="522" w:type="pct"/>
            <w:shd w:val="clear" w:color="auto" w:fill="auto"/>
            <w:vAlign w:val="bottom"/>
          </w:tcPr>
          <w:p w:rsidR="0083788D" w:rsidRPr="002F229F" w:rsidRDefault="002F229F" w:rsidP="0083788D">
            <w:pPr>
              <w:jc w:val="center"/>
              <w:rPr>
                <w:b/>
                <w:lang w:val="en-US"/>
              </w:rPr>
            </w:pPr>
            <w:r>
              <w:rPr>
                <w:b/>
                <w:lang w:val="en-US"/>
              </w:rPr>
              <w:t xml:space="preserve">    23.1%</w:t>
            </w:r>
          </w:p>
        </w:tc>
      </w:tr>
      <w:tr w:rsidR="0083788D" w:rsidRPr="002A3EAD" w:rsidTr="0083788D">
        <w:trPr>
          <w:trHeight w:val="315"/>
        </w:trPr>
        <w:tc>
          <w:tcPr>
            <w:tcW w:w="2363" w:type="pct"/>
            <w:vAlign w:val="bottom"/>
          </w:tcPr>
          <w:p w:rsidR="0083788D" w:rsidRPr="00E6377B" w:rsidRDefault="0083788D" w:rsidP="0083788D">
            <w:pPr>
              <w:pStyle w:val="FootnoteText"/>
              <w:rPr>
                <w:b/>
                <w:sz w:val="24"/>
                <w:szCs w:val="24"/>
              </w:rPr>
            </w:pPr>
            <w:r w:rsidRPr="00E6377B">
              <w:rPr>
                <w:b/>
                <w:sz w:val="24"/>
                <w:szCs w:val="24"/>
              </w:rPr>
              <w:t>Финансов резултат от минали години</w:t>
            </w:r>
          </w:p>
        </w:tc>
        <w:tc>
          <w:tcPr>
            <w:tcW w:w="1108" w:type="pct"/>
            <w:shd w:val="clear" w:color="auto" w:fill="auto"/>
            <w:vAlign w:val="bottom"/>
          </w:tcPr>
          <w:p w:rsidR="0083788D" w:rsidRPr="0083788D" w:rsidRDefault="0083788D" w:rsidP="0083788D">
            <w:pPr>
              <w:jc w:val="right"/>
              <w:rPr>
                <w:b/>
              </w:rPr>
            </w:pPr>
          </w:p>
        </w:tc>
        <w:tc>
          <w:tcPr>
            <w:tcW w:w="1007" w:type="pct"/>
            <w:shd w:val="clear" w:color="auto" w:fill="auto"/>
            <w:vAlign w:val="bottom"/>
          </w:tcPr>
          <w:p w:rsidR="0083788D" w:rsidRPr="0083788D" w:rsidRDefault="0083788D" w:rsidP="0083788D">
            <w:pPr>
              <w:jc w:val="right"/>
              <w:rPr>
                <w:b/>
              </w:rPr>
            </w:pPr>
          </w:p>
        </w:tc>
        <w:tc>
          <w:tcPr>
            <w:tcW w:w="522" w:type="pct"/>
            <w:shd w:val="clear" w:color="auto" w:fill="auto"/>
            <w:vAlign w:val="bottom"/>
          </w:tcPr>
          <w:p w:rsidR="0083788D" w:rsidRPr="0083788D" w:rsidRDefault="0083788D" w:rsidP="0083788D">
            <w:pPr>
              <w:jc w:val="center"/>
              <w:rPr>
                <w:b/>
              </w:rPr>
            </w:pPr>
          </w:p>
        </w:tc>
      </w:tr>
      <w:tr w:rsidR="0083788D" w:rsidRPr="002A3EAD" w:rsidTr="0083788D">
        <w:trPr>
          <w:trHeight w:val="315"/>
        </w:trPr>
        <w:tc>
          <w:tcPr>
            <w:tcW w:w="2363" w:type="pct"/>
            <w:vAlign w:val="bottom"/>
          </w:tcPr>
          <w:p w:rsidR="0083788D" w:rsidRPr="002A3EAD" w:rsidRDefault="0083788D" w:rsidP="0083788D">
            <w:r w:rsidRPr="002A3EAD">
              <w:t xml:space="preserve">Резерви </w:t>
            </w:r>
          </w:p>
        </w:tc>
        <w:tc>
          <w:tcPr>
            <w:tcW w:w="1108" w:type="pct"/>
            <w:shd w:val="clear" w:color="auto" w:fill="auto"/>
            <w:vAlign w:val="bottom"/>
          </w:tcPr>
          <w:p w:rsidR="0083788D" w:rsidRPr="0083788D" w:rsidRDefault="0083788D" w:rsidP="0083788D">
            <w:pPr>
              <w:jc w:val="right"/>
            </w:pPr>
            <w:r w:rsidRPr="0083788D">
              <w:t>190,826</w:t>
            </w:r>
          </w:p>
        </w:tc>
        <w:tc>
          <w:tcPr>
            <w:tcW w:w="1007" w:type="pct"/>
            <w:shd w:val="clear" w:color="auto" w:fill="auto"/>
            <w:vAlign w:val="bottom"/>
          </w:tcPr>
          <w:p w:rsidR="0083788D" w:rsidRPr="0083788D" w:rsidRDefault="0083788D" w:rsidP="0083788D">
            <w:pPr>
              <w:jc w:val="right"/>
            </w:pPr>
            <w:r w:rsidRPr="0083788D">
              <w:t>176,953</w:t>
            </w:r>
          </w:p>
        </w:tc>
        <w:tc>
          <w:tcPr>
            <w:tcW w:w="522" w:type="pct"/>
            <w:shd w:val="clear" w:color="auto" w:fill="auto"/>
            <w:vAlign w:val="bottom"/>
          </w:tcPr>
          <w:p w:rsidR="0083788D" w:rsidRPr="0083788D" w:rsidRDefault="0083788D" w:rsidP="0083788D">
            <w:pPr>
              <w:jc w:val="right"/>
            </w:pPr>
            <w:r w:rsidRPr="0083788D">
              <w:t>7.8%</w:t>
            </w:r>
          </w:p>
        </w:tc>
      </w:tr>
      <w:tr w:rsidR="0083788D" w:rsidRPr="002A3EAD" w:rsidTr="0083788D">
        <w:trPr>
          <w:trHeight w:val="315"/>
        </w:trPr>
        <w:tc>
          <w:tcPr>
            <w:tcW w:w="2363" w:type="pct"/>
            <w:vAlign w:val="bottom"/>
          </w:tcPr>
          <w:p w:rsidR="0083788D" w:rsidRPr="002A3EAD" w:rsidRDefault="0083788D" w:rsidP="0083788D">
            <w:r w:rsidRPr="002A3EAD">
              <w:t>Основен капитал</w:t>
            </w:r>
          </w:p>
        </w:tc>
        <w:tc>
          <w:tcPr>
            <w:tcW w:w="1108" w:type="pct"/>
            <w:shd w:val="clear" w:color="auto" w:fill="auto"/>
            <w:vAlign w:val="bottom"/>
          </w:tcPr>
          <w:p w:rsidR="0083788D" w:rsidRPr="0083788D" w:rsidRDefault="0083788D" w:rsidP="0083788D">
            <w:pPr>
              <w:jc w:val="right"/>
            </w:pPr>
            <w:r w:rsidRPr="0083788D">
              <w:t>129,758</w:t>
            </w:r>
          </w:p>
        </w:tc>
        <w:tc>
          <w:tcPr>
            <w:tcW w:w="1007" w:type="pct"/>
            <w:shd w:val="clear" w:color="auto" w:fill="auto"/>
            <w:vAlign w:val="bottom"/>
          </w:tcPr>
          <w:p w:rsidR="0083788D" w:rsidRPr="0083788D" w:rsidRDefault="0083788D" w:rsidP="0083788D">
            <w:pPr>
              <w:jc w:val="right"/>
            </w:pPr>
            <w:r w:rsidRPr="0083788D">
              <w:t>129,758</w:t>
            </w:r>
          </w:p>
        </w:tc>
        <w:tc>
          <w:tcPr>
            <w:tcW w:w="522" w:type="pct"/>
            <w:shd w:val="clear" w:color="auto" w:fill="auto"/>
            <w:vAlign w:val="bottom"/>
          </w:tcPr>
          <w:p w:rsidR="0083788D" w:rsidRPr="0083788D" w:rsidRDefault="0083788D" w:rsidP="0083788D">
            <w:pPr>
              <w:jc w:val="right"/>
            </w:pPr>
            <w:r w:rsidRPr="0083788D">
              <w:t>0.0%</w:t>
            </w:r>
          </w:p>
        </w:tc>
      </w:tr>
      <w:tr w:rsidR="0083788D" w:rsidRPr="00E6377B" w:rsidTr="0083788D">
        <w:trPr>
          <w:trHeight w:val="315"/>
        </w:trPr>
        <w:tc>
          <w:tcPr>
            <w:tcW w:w="2363" w:type="pct"/>
            <w:vAlign w:val="bottom"/>
          </w:tcPr>
          <w:p w:rsidR="0083788D" w:rsidRPr="00082F0A" w:rsidRDefault="0083788D" w:rsidP="0083788D">
            <w:pPr>
              <w:rPr>
                <w:b/>
              </w:rPr>
            </w:pPr>
            <w:r w:rsidRPr="00082F0A">
              <w:rPr>
                <w:b/>
              </w:rPr>
              <w:t>Собствен капитал</w:t>
            </w:r>
          </w:p>
        </w:tc>
        <w:tc>
          <w:tcPr>
            <w:tcW w:w="1108" w:type="pct"/>
            <w:shd w:val="clear" w:color="auto" w:fill="auto"/>
            <w:vAlign w:val="bottom"/>
          </w:tcPr>
          <w:p w:rsidR="0083788D" w:rsidRPr="0083788D" w:rsidRDefault="0083788D" w:rsidP="0083788D">
            <w:pPr>
              <w:jc w:val="right"/>
              <w:rPr>
                <w:b/>
              </w:rPr>
            </w:pPr>
            <w:r w:rsidRPr="0083788D">
              <w:rPr>
                <w:b/>
              </w:rPr>
              <w:t>354,737</w:t>
            </w:r>
          </w:p>
        </w:tc>
        <w:tc>
          <w:tcPr>
            <w:tcW w:w="1007" w:type="pct"/>
            <w:shd w:val="clear" w:color="auto" w:fill="auto"/>
            <w:vAlign w:val="bottom"/>
          </w:tcPr>
          <w:p w:rsidR="0083788D" w:rsidRPr="0083788D" w:rsidRDefault="0083788D" w:rsidP="0083788D">
            <w:pPr>
              <w:jc w:val="right"/>
              <w:rPr>
                <w:b/>
              </w:rPr>
            </w:pPr>
            <w:r w:rsidRPr="0083788D">
              <w:rPr>
                <w:b/>
              </w:rPr>
              <w:t>306,711</w:t>
            </w:r>
          </w:p>
        </w:tc>
        <w:tc>
          <w:tcPr>
            <w:tcW w:w="522" w:type="pct"/>
            <w:shd w:val="clear" w:color="auto" w:fill="auto"/>
            <w:vAlign w:val="bottom"/>
          </w:tcPr>
          <w:p w:rsidR="0083788D" w:rsidRPr="0083788D" w:rsidRDefault="0083788D" w:rsidP="0083788D">
            <w:pPr>
              <w:jc w:val="right"/>
              <w:rPr>
                <w:b/>
              </w:rPr>
            </w:pPr>
            <w:r w:rsidRPr="0083788D">
              <w:rPr>
                <w:b/>
              </w:rPr>
              <w:t>15.7%</w:t>
            </w:r>
          </w:p>
        </w:tc>
      </w:tr>
    </w:tbl>
    <w:p w:rsidR="00AD7A07" w:rsidRPr="00AD7A07" w:rsidRDefault="004C79EF" w:rsidP="00AD7A07">
      <w:pPr>
        <w:pStyle w:val="BlockText"/>
        <w:ind w:right="-24"/>
        <w:rPr>
          <w:rFonts w:ascii="Times New Roman" w:hAnsi="Times New Roman"/>
        </w:rPr>
      </w:pPr>
      <w:r>
        <w:rPr>
          <w:rFonts w:ascii="Times New Roman" w:hAnsi="Times New Roman"/>
          <w:lang w:val="bg-BG"/>
        </w:rPr>
        <w:t>Увеличението на нетекущи пасиви се дължи основно на новоначислена провизия за конструктивни задължения.</w:t>
      </w:r>
      <w:r w:rsidR="008A32A9">
        <w:rPr>
          <w:rFonts w:ascii="Times New Roman" w:hAnsi="Times New Roman"/>
          <w:lang w:val="bg-BG"/>
        </w:rPr>
        <w:t xml:space="preserve"> </w:t>
      </w:r>
      <w:r w:rsidR="00801154">
        <w:rPr>
          <w:rFonts w:ascii="Times New Roman" w:hAnsi="Times New Roman"/>
          <w:lang w:val="bg-BG"/>
        </w:rPr>
        <w:t>Намалението в позиция текущи пасиви се дължи основно на намалението на размера на краткосрочните провизии.</w:t>
      </w:r>
      <w:r w:rsidR="00BA3965">
        <w:rPr>
          <w:rFonts w:ascii="Times New Roman" w:hAnsi="Times New Roman"/>
        </w:rPr>
        <w:t xml:space="preserve"> </w:t>
      </w:r>
    </w:p>
    <w:tbl>
      <w:tblPr>
        <w:tblW w:w="0" w:type="auto"/>
        <w:tblInd w:w="30" w:type="dxa"/>
        <w:tblCellMar>
          <w:left w:w="30" w:type="dxa"/>
          <w:right w:w="30" w:type="dxa"/>
        </w:tblCellMar>
        <w:tblLook w:val="0000" w:firstRow="0" w:lastRow="0" w:firstColumn="0" w:lastColumn="0" w:noHBand="0" w:noVBand="0"/>
      </w:tblPr>
      <w:tblGrid>
        <w:gridCol w:w="2617"/>
        <w:gridCol w:w="1016"/>
        <w:gridCol w:w="709"/>
        <w:gridCol w:w="708"/>
        <w:gridCol w:w="851"/>
        <w:gridCol w:w="1417"/>
        <w:gridCol w:w="1293"/>
        <w:gridCol w:w="1401"/>
      </w:tblGrid>
      <w:tr w:rsidR="005B3108" w:rsidRPr="00954096" w:rsidTr="0065595F">
        <w:trPr>
          <w:trHeight w:val="453"/>
        </w:trPr>
        <w:tc>
          <w:tcPr>
            <w:tcW w:w="2617" w:type="dxa"/>
            <w:vMerge w:val="restart"/>
            <w:tcBorders>
              <w:top w:val="double" w:sz="6" w:space="0" w:color="auto"/>
              <w:left w:val="double" w:sz="6" w:space="0" w:color="auto"/>
              <w:right w:val="single" w:sz="6" w:space="0" w:color="auto"/>
            </w:tcBorders>
            <w:vAlign w:val="center"/>
          </w:tcPr>
          <w:p w:rsidR="005B3108" w:rsidRPr="007C13BC" w:rsidRDefault="005B3108" w:rsidP="0049372C">
            <w:pPr>
              <w:jc w:val="center"/>
              <w:rPr>
                <w:b/>
                <w:caps/>
                <w:snapToGrid w:val="0"/>
                <w:lang w:eastAsia="en-US"/>
              </w:rPr>
            </w:pPr>
            <w:r w:rsidRPr="007C13BC">
              <w:rPr>
                <w:b/>
                <w:caps/>
                <w:snapToGrid w:val="0"/>
                <w:lang w:eastAsia="en-US"/>
              </w:rPr>
              <w:t>Вземания от контрагенти</w:t>
            </w:r>
          </w:p>
        </w:tc>
        <w:tc>
          <w:tcPr>
            <w:tcW w:w="1016" w:type="dxa"/>
            <w:vMerge w:val="restart"/>
            <w:tcBorders>
              <w:top w:val="double" w:sz="6" w:space="0" w:color="auto"/>
              <w:left w:val="single" w:sz="6" w:space="0" w:color="auto"/>
              <w:right w:val="single" w:sz="6" w:space="0" w:color="auto"/>
            </w:tcBorders>
            <w:vAlign w:val="center"/>
          </w:tcPr>
          <w:p w:rsidR="005B3108" w:rsidRPr="007C13BC" w:rsidRDefault="005B3108" w:rsidP="0049372C">
            <w:pPr>
              <w:jc w:val="center"/>
              <w:rPr>
                <w:b/>
                <w:snapToGrid w:val="0"/>
                <w:lang w:eastAsia="en-US"/>
              </w:rPr>
            </w:pPr>
            <w:r w:rsidRPr="007C13BC">
              <w:rPr>
                <w:b/>
                <w:snapToGrid w:val="0"/>
                <w:lang w:eastAsia="en-US"/>
              </w:rPr>
              <w:t>Общ размер</w:t>
            </w:r>
          </w:p>
        </w:tc>
        <w:tc>
          <w:tcPr>
            <w:tcW w:w="2268" w:type="dxa"/>
            <w:gridSpan w:val="3"/>
            <w:tcBorders>
              <w:top w:val="double" w:sz="6" w:space="0" w:color="auto"/>
              <w:left w:val="single" w:sz="6" w:space="0" w:color="auto"/>
              <w:bottom w:val="single" w:sz="6" w:space="0" w:color="auto"/>
              <w:right w:val="single" w:sz="4" w:space="0" w:color="auto"/>
            </w:tcBorders>
            <w:vAlign w:val="center"/>
          </w:tcPr>
          <w:p w:rsidR="005B3108" w:rsidRPr="007C13BC" w:rsidRDefault="005B3108" w:rsidP="0049372C">
            <w:pPr>
              <w:jc w:val="center"/>
              <w:rPr>
                <w:b/>
                <w:snapToGrid w:val="0"/>
                <w:lang w:eastAsia="en-US"/>
              </w:rPr>
            </w:pPr>
            <w:r w:rsidRPr="007C13BC">
              <w:rPr>
                <w:b/>
                <w:snapToGrid w:val="0"/>
                <w:lang w:eastAsia="en-US"/>
              </w:rPr>
              <w:t>Възраст на вземанията</w:t>
            </w:r>
          </w:p>
        </w:tc>
        <w:tc>
          <w:tcPr>
            <w:tcW w:w="1417" w:type="dxa"/>
            <w:vMerge w:val="restart"/>
            <w:tcBorders>
              <w:top w:val="double" w:sz="6" w:space="0" w:color="auto"/>
              <w:right w:val="single" w:sz="4" w:space="0" w:color="auto"/>
            </w:tcBorders>
            <w:vAlign w:val="center"/>
          </w:tcPr>
          <w:p w:rsidR="005B3108" w:rsidRPr="007C13BC" w:rsidRDefault="005B3108" w:rsidP="0049372C">
            <w:pPr>
              <w:jc w:val="center"/>
              <w:rPr>
                <w:b/>
                <w:snapToGrid w:val="0"/>
                <w:lang w:eastAsia="en-US"/>
              </w:rPr>
            </w:pPr>
            <w:r w:rsidRPr="007C13BC">
              <w:rPr>
                <w:b/>
                <w:snapToGrid w:val="0"/>
                <w:lang w:eastAsia="en-US"/>
              </w:rPr>
              <w:t>Просрочени вземания</w:t>
            </w:r>
          </w:p>
        </w:tc>
        <w:tc>
          <w:tcPr>
            <w:tcW w:w="1293" w:type="dxa"/>
            <w:vMerge w:val="restart"/>
            <w:tcBorders>
              <w:top w:val="double" w:sz="6" w:space="0" w:color="auto"/>
              <w:left w:val="single" w:sz="4" w:space="0" w:color="auto"/>
              <w:right w:val="single" w:sz="4" w:space="0" w:color="auto"/>
            </w:tcBorders>
            <w:vAlign w:val="center"/>
          </w:tcPr>
          <w:p w:rsidR="005B3108" w:rsidRPr="007C13BC" w:rsidRDefault="005B3108" w:rsidP="0049372C">
            <w:pPr>
              <w:jc w:val="center"/>
              <w:rPr>
                <w:b/>
                <w:snapToGrid w:val="0"/>
                <w:lang w:eastAsia="en-US"/>
              </w:rPr>
            </w:pPr>
            <w:r w:rsidRPr="007C13BC">
              <w:rPr>
                <w:b/>
                <w:snapToGrid w:val="0"/>
                <w:lang w:eastAsia="en-US"/>
              </w:rPr>
              <w:t>Обезценка</w:t>
            </w:r>
          </w:p>
        </w:tc>
        <w:tc>
          <w:tcPr>
            <w:tcW w:w="1401" w:type="dxa"/>
            <w:vMerge w:val="restart"/>
            <w:tcBorders>
              <w:top w:val="double" w:sz="6" w:space="0" w:color="auto"/>
              <w:left w:val="single" w:sz="4" w:space="0" w:color="auto"/>
              <w:right w:val="double" w:sz="6" w:space="0" w:color="auto"/>
            </w:tcBorders>
            <w:vAlign w:val="center"/>
          </w:tcPr>
          <w:p w:rsidR="005B3108" w:rsidRPr="007C13BC" w:rsidRDefault="005B3108" w:rsidP="001A61FE">
            <w:pPr>
              <w:jc w:val="center"/>
              <w:rPr>
                <w:b/>
                <w:snapToGrid w:val="0"/>
                <w:lang w:eastAsia="en-US"/>
              </w:rPr>
            </w:pPr>
            <w:r w:rsidRPr="007C13BC">
              <w:rPr>
                <w:b/>
                <w:snapToGrid w:val="0"/>
                <w:lang w:eastAsia="en-US"/>
              </w:rPr>
              <w:t>Балансова стойност</w:t>
            </w:r>
          </w:p>
        </w:tc>
      </w:tr>
      <w:tr w:rsidR="005B3108" w:rsidRPr="00954096" w:rsidTr="00023416">
        <w:trPr>
          <w:trHeight w:val="548"/>
        </w:trPr>
        <w:tc>
          <w:tcPr>
            <w:tcW w:w="2617" w:type="dxa"/>
            <w:vMerge/>
            <w:tcBorders>
              <w:left w:val="double" w:sz="6" w:space="0" w:color="auto"/>
              <w:bottom w:val="single" w:sz="4" w:space="0" w:color="auto"/>
              <w:right w:val="single" w:sz="6" w:space="0" w:color="auto"/>
            </w:tcBorders>
          </w:tcPr>
          <w:p w:rsidR="005B3108" w:rsidRPr="007C13BC" w:rsidRDefault="005B3108" w:rsidP="0049372C">
            <w:pPr>
              <w:jc w:val="center"/>
              <w:rPr>
                <w:snapToGrid w:val="0"/>
                <w:lang w:eastAsia="en-US"/>
              </w:rPr>
            </w:pPr>
          </w:p>
        </w:tc>
        <w:tc>
          <w:tcPr>
            <w:tcW w:w="1016" w:type="dxa"/>
            <w:vMerge/>
            <w:tcBorders>
              <w:left w:val="single" w:sz="6" w:space="0" w:color="auto"/>
              <w:bottom w:val="single" w:sz="4" w:space="0" w:color="auto"/>
              <w:right w:val="single" w:sz="6" w:space="0" w:color="auto"/>
            </w:tcBorders>
          </w:tcPr>
          <w:p w:rsidR="005B3108" w:rsidRPr="007C13BC" w:rsidRDefault="005B3108" w:rsidP="0049372C">
            <w:pPr>
              <w:jc w:val="center"/>
              <w:rPr>
                <w:snapToGrid w:val="0"/>
                <w:lang w:eastAsia="en-US"/>
              </w:rPr>
            </w:pPr>
          </w:p>
        </w:tc>
        <w:tc>
          <w:tcPr>
            <w:tcW w:w="709" w:type="dxa"/>
            <w:tcBorders>
              <w:top w:val="single" w:sz="6" w:space="0" w:color="auto"/>
              <w:left w:val="single" w:sz="6" w:space="0" w:color="auto"/>
              <w:bottom w:val="single" w:sz="4" w:space="0" w:color="auto"/>
              <w:right w:val="single" w:sz="6" w:space="0" w:color="auto"/>
            </w:tcBorders>
          </w:tcPr>
          <w:p w:rsidR="005B3108" w:rsidRPr="007C13BC" w:rsidRDefault="005B3108" w:rsidP="0049372C">
            <w:pPr>
              <w:jc w:val="center"/>
              <w:rPr>
                <w:b/>
                <w:snapToGrid w:val="0"/>
                <w:lang w:eastAsia="en-US"/>
              </w:rPr>
            </w:pPr>
            <w:r w:rsidRPr="007C13BC">
              <w:rPr>
                <w:b/>
                <w:snapToGrid w:val="0"/>
                <w:lang w:eastAsia="en-US"/>
              </w:rPr>
              <w:t>до 3м</w:t>
            </w:r>
          </w:p>
        </w:tc>
        <w:tc>
          <w:tcPr>
            <w:tcW w:w="708" w:type="dxa"/>
            <w:tcBorders>
              <w:top w:val="single" w:sz="6" w:space="0" w:color="auto"/>
              <w:left w:val="single" w:sz="6" w:space="0" w:color="auto"/>
              <w:bottom w:val="single" w:sz="4" w:space="0" w:color="auto"/>
              <w:right w:val="single" w:sz="4" w:space="0" w:color="auto"/>
            </w:tcBorders>
          </w:tcPr>
          <w:p w:rsidR="005B3108" w:rsidRPr="007C13BC" w:rsidRDefault="005B3108" w:rsidP="0049372C">
            <w:pPr>
              <w:jc w:val="center"/>
              <w:rPr>
                <w:b/>
                <w:snapToGrid w:val="0"/>
                <w:lang w:eastAsia="en-US"/>
              </w:rPr>
            </w:pPr>
            <w:r w:rsidRPr="007C13BC">
              <w:rPr>
                <w:b/>
                <w:snapToGrid w:val="0"/>
                <w:lang w:eastAsia="en-US"/>
              </w:rPr>
              <w:t>до 6 м</w:t>
            </w:r>
          </w:p>
          <w:p w:rsidR="005B3108" w:rsidRPr="007C13BC" w:rsidRDefault="005B3108" w:rsidP="0049372C">
            <w:pPr>
              <w:jc w:val="center"/>
              <w:rPr>
                <w:b/>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5B3108" w:rsidRPr="007C13BC" w:rsidRDefault="005B3108" w:rsidP="002E15AC">
            <w:pPr>
              <w:jc w:val="center"/>
              <w:rPr>
                <w:b/>
                <w:snapToGrid w:val="0"/>
                <w:lang w:eastAsia="en-US"/>
              </w:rPr>
            </w:pPr>
            <w:r w:rsidRPr="007C13BC">
              <w:rPr>
                <w:b/>
                <w:snapToGrid w:val="0"/>
                <w:lang w:eastAsia="en-US"/>
              </w:rPr>
              <w:t>на</w:t>
            </w:r>
            <w:r w:rsidRPr="007C13BC">
              <w:rPr>
                <w:b/>
                <w:snapToGrid w:val="0"/>
                <w:lang w:val="ru-RU" w:eastAsia="en-US"/>
              </w:rPr>
              <w:t xml:space="preserve">д </w:t>
            </w:r>
            <w:r w:rsidRPr="007C13BC">
              <w:rPr>
                <w:b/>
                <w:snapToGrid w:val="0"/>
                <w:lang w:val="en-US" w:eastAsia="en-US"/>
              </w:rPr>
              <w:t>6 м</w:t>
            </w:r>
          </w:p>
        </w:tc>
        <w:tc>
          <w:tcPr>
            <w:tcW w:w="1417" w:type="dxa"/>
            <w:vMerge/>
            <w:tcBorders>
              <w:left w:val="single" w:sz="4" w:space="0" w:color="auto"/>
              <w:bottom w:val="single" w:sz="4" w:space="0" w:color="auto"/>
              <w:right w:val="single" w:sz="4" w:space="0" w:color="auto"/>
            </w:tcBorders>
          </w:tcPr>
          <w:p w:rsidR="005B3108" w:rsidRPr="007C13BC" w:rsidRDefault="005B3108" w:rsidP="0049372C">
            <w:pPr>
              <w:jc w:val="center"/>
              <w:rPr>
                <w:snapToGrid w:val="0"/>
                <w:lang w:val="en-US" w:eastAsia="en-US"/>
              </w:rPr>
            </w:pPr>
          </w:p>
        </w:tc>
        <w:tc>
          <w:tcPr>
            <w:tcW w:w="1293" w:type="dxa"/>
            <w:vMerge/>
            <w:tcBorders>
              <w:left w:val="single" w:sz="4" w:space="0" w:color="auto"/>
              <w:bottom w:val="single" w:sz="4" w:space="0" w:color="auto"/>
              <w:right w:val="single" w:sz="4" w:space="0" w:color="auto"/>
            </w:tcBorders>
          </w:tcPr>
          <w:p w:rsidR="005B3108" w:rsidRPr="007C13BC" w:rsidRDefault="005B3108" w:rsidP="0049372C">
            <w:pPr>
              <w:jc w:val="center"/>
              <w:rPr>
                <w:snapToGrid w:val="0"/>
                <w:lang w:val="en-US" w:eastAsia="en-US"/>
              </w:rPr>
            </w:pPr>
          </w:p>
        </w:tc>
        <w:tc>
          <w:tcPr>
            <w:tcW w:w="1401" w:type="dxa"/>
            <w:vMerge/>
            <w:tcBorders>
              <w:left w:val="single" w:sz="4" w:space="0" w:color="auto"/>
              <w:bottom w:val="single" w:sz="4" w:space="0" w:color="auto"/>
              <w:right w:val="double" w:sz="6" w:space="0" w:color="auto"/>
            </w:tcBorders>
          </w:tcPr>
          <w:p w:rsidR="005B3108" w:rsidRPr="007C13BC" w:rsidRDefault="005B3108" w:rsidP="0049372C">
            <w:pPr>
              <w:jc w:val="center"/>
              <w:rPr>
                <w:snapToGrid w:val="0"/>
                <w:lang w:val="en-US" w:eastAsia="en-US"/>
              </w:rPr>
            </w:pPr>
          </w:p>
        </w:tc>
      </w:tr>
      <w:tr w:rsidR="002F229F" w:rsidRPr="000A5967" w:rsidTr="00712864">
        <w:trPr>
          <w:trHeight w:val="214"/>
        </w:trPr>
        <w:tc>
          <w:tcPr>
            <w:tcW w:w="2617" w:type="dxa"/>
            <w:tcBorders>
              <w:top w:val="single" w:sz="4" w:space="0" w:color="auto"/>
              <w:left w:val="double" w:sz="6" w:space="0" w:color="auto"/>
              <w:bottom w:val="single" w:sz="4" w:space="0" w:color="auto"/>
              <w:right w:val="single" w:sz="4" w:space="0" w:color="auto"/>
            </w:tcBorders>
            <w:vAlign w:val="bottom"/>
          </w:tcPr>
          <w:p w:rsidR="002F229F" w:rsidRPr="004F5EA5" w:rsidRDefault="002F229F" w:rsidP="002F229F">
            <w:pPr>
              <w:rPr>
                <w:sz w:val="22"/>
                <w:szCs w:val="22"/>
              </w:rPr>
            </w:pPr>
            <w:r>
              <w:rPr>
                <w:sz w:val="22"/>
                <w:szCs w:val="22"/>
              </w:rPr>
              <w:t>ЕВРОКОНТРОЛ</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tcPr>
          <w:p w:rsidR="002F229F" w:rsidRPr="002F229F" w:rsidRDefault="002F229F" w:rsidP="002F229F">
            <w:pPr>
              <w:jc w:val="right"/>
              <w:rPr>
                <w:lang w:eastAsia="bg-BG"/>
              </w:rPr>
            </w:pPr>
            <w:r w:rsidRPr="002F229F">
              <w:t>109</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2F229F" w:rsidRPr="002F229F" w:rsidRDefault="002F229F" w:rsidP="002F229F">
            <w:r w:rsidRPr="002F229F">
              <w:t> </w:t>
            </w:r>
          </w:p>
        </w:tc>
        <w:tc>
          <w:tcPr>
            <w:tcW w:w="708" w:type="dxa"/>
            <w:tcBorders>
              <w:top w:val="single" w:sz="4" w:space="0" w:color="auto"/>
              <w:left w:val="nil"/>
              <w:bottom w:val="single" w:sz="4" w:space="0" w:color="auto"/>
              <w:right w:val="single" w:sz="4" w:space="0" w:color="auto"/>
            </w:tcBorders>
            <w:shd w:val="clear" w:color="000000" w:fill="FFFFFF"/>
            <w:vAlign w:val="bottom"/>
          </w:tcPr>
          <w:p w:rsidR="002F229F" w:rsidRPr="002F229F" w:rsidRDefault="002F229F" w:rsidP="002F229F">
            <w:r w:rsidRPr="002F229F">
              <w:t> </w:t>
            </w:r>
          </w:p>
        </w:tc>
        <w:tc>
          <w:tcPr>
            <w:tcW w:w="851" w:type="dxa"/>
            <w:tcBorders>
              <w:top w:val="single" w:sz="4" w:space="0" w:color="auto"/>
              <w:left w:val="nil"/>
              <w:bottom w:val="single" w:sz="4" w:space="0" w:color="auto"/>
              <w:right w:val="nil"/>
            </w:tcBorders>
            <w:shd w:val="clear" w:color="000000" w:fill="FFFFFF"/>
            <w:vAlign w:val="bottom"/>
          </w:tcPr>
          <w:p w:rsidR="002F229F" w:rsidRPr="002F229F" w:rsidRDefault="002F229F" w:rsidP="002F229F">
            <w:pPr>
              <w:jc w:val="right"/>
            </w:pPr>
            <w:r w:rsidRPr="002F229F">
              <w:t>109</w:t>
            </w:r>
          </w:p>
        </w:tc>
        <w:tc>
          <w:tcPr>
            <w:tcW w:w="1417" w:type="dxa"/>
            <w:tcBorders>
              <w:top w:val="single" w:sz="4" w:space="0" w:color="auto"/>
              <w:left w:val="single" w:sz="4" w:space="0" w:color="auto"/>
              <w:bottom w:val="single" w:sz="4" w:space="0" w:color="auto"/>
              <w:right w:val="nil"/>
            </w:tcBorders>
            <w:shd w:val="clear" w:color="000000" w:fill="FFFFFF"/>
            <w:vAlign w:val="bottom"/>
          </w:tcPr>
          <w:p w:rsidR="002F229F" w:rsidRPr="002F229F" w:rsidRDefault="002F229F" w:rsidP="002F229F">
            <w:r w:rsidRPr="002F229F">
              <w:t> </w:t>
            </w:r>
          </w:p>
        </w:tc>
        <w:tc>
          <w:tcPr>
            <w:tcW w:w="1293" w:type="dxa"/>
            <w:tcBorders>
              <w:top w:val="single" w:sz="4" w:space="0" w:color="auto"/>
              <w:left w:val="single" w:sz="4" w:space="0" w:color="auto"/>
              <w:bottom w:val="single" w:sz="4" w:space="0" w:color="auto"/>
              <w:right w:val="nil"/>
            </w:tcBorders>
            <w:shd w:val="clear" w:color="000000" w:fill="FFFFFF"/>
            <w:vAlign w:val="bottom"/>
          </w:tcPr>
          <w:p w:rsidR="002F229F" w:rsidRPr="002F229F" w:rsidRDefault="002F229F" w:rsidP="002F229F">
            <w:r w:rsidRPr="002F229F">
              <w:t> </w:t>
            </w:r>
          </w:p>
        </w:tc>
        <w:tc>
          <w:tcPr>
            <w:tcW w:w="1401" w:type="dxa"/>
            <w:tcBorders>
              <w:top w:val="single" w:sz="4" w:space="0" w:color="auto"/>
              <w:left w:val="single" w:sz="4" w:space="0" w:color="auto"/>
              <w:bottom w:val="single" w:sz="4" w:space="0" w:color="auto"/>
              <w:right w:val="single" w:sz="4" w:space="0" w:color="auto"/>
            </w:tcBorders>
            <w:shd w:val="clear" w:color="000000" w:fill="FFFFFF"/>
            <w:vAlign w:val="bottom"/>
          </w:tcPr>
          <w:p w:rsidR="002F229F" w:rsidRPr="002F229F" w:rsidRDefault="002F229F" w:rsidP="002F229F">
            <w:pPr>
              <w:jc w:val="right"/>
            </w:pPr>
            <w:r w:rsidRPr="002F229F">
              <w:t>109</w:t>
            </w:r>
          </w:p>
        </w:tc>
      </w:tr>
      <w:tr w:rsidR="002F229F" w:rsidRPr="000A5967" w:rsidTr="00712864">
        <w:trPr>
          <w:trHeight w:val="214"/>
        </w:trPr>
        <w:tc>
          <w:tcPr>
            <w:tcW w:w="2617" w:type="dxa"/>
            <w:tcBorders>
              <w:top w:val="single" w:sz="4" w:space="0" w:color="auto"/>
              <w:left w:val="double" w:sz="6" w:space="0" w:color="auto"/>
              <w:bottom w:val="single" w:sz="4" w:space="0" w:color="auto"/>
              <w:right w:val="single" w:sz="4" w:space="0" w:color="auto"/>
            </w:tcBorders>
            <w:vAlign w:val="bottom"/>
          </w:tcPr>
          <w:p w:rsidR="002F229F" w:rsidRPr="00082F0A" w:rsidRDefault="002F229F" w:rsidP="002F229F">
            <w:pPr>
              <w:rPr>
                <w:sz w:val="22"/>
                <w:szCs w:val="22"/>
              </w:rPr>
            </w:pPr>
            <w:r w:rsidRPr="00082F0A">
              <w:rPr>
                <w:sz w:val="22"/>
                <w:szCs w:val="22"/>
              </w:rPr>
              <w:t>МАЙКРО НАВ ЛИМИТЕД</w:t>
            </w:r>
          </w:p>
        </w:tc>
        <w:tc>
          <w:tcPr>
            <w:tcW w:w="1016" w:type="dxa"/>
            <w:tcBorders>
              <w:top w:val="nil"/>
              <w:left w:val="single" w:sz="4" w:space="0" w:color="auto"/>
              <w:bottom w:val="single" w:sz="4" w:space="0" w:color="auto"/>
              <w:right w:val="single" w:sz="4" w:space="0" w:color="auto"/>
            </w:tcBorders>
            <w:shd w:val="clear" w:color="auto" w:fill="auto"/>
            <w:vAlign w:val="bottom"/>
          </w:tcPr>
          <w:p w:rsidR="002F229F" w:rsidRPr="002F229F" w:rsidRDefault="002F229F" w:rsidP="002F229F">
            <w:pPr>
              <w:jc w:val="right"/>
            </w:pPr>
            <w:r w:rsidRPr="002F229F">
              <w:t>88</w:t>
            </w:r>
          </w:p>
        </w:tc>
        <w:tc>
          <w:tcPr>
            <w:tcW w:w="709" w:type="dxa"/>
            <w:tcBorders>
              <w:top w:val="nil"/>
              <w:left w:val="nil"/>
              <w:bottom w:val="single" w:sz="4" w:space="0" w:color="auto"/>
              <w:right w:val="single" w:sz="4" w:space="0" w:color="auto"/>
            </w:tcBorders>
            <w:shd w:val="clear" w:color="000000" w:fill="FFFFFF"/>
            <w:vAlign w:val="bottom"/>
          </w:tcPr>
          <w:p w:rsidR="002F229F" w:rsidRPr="002F229F" w:rsidRDefault="002F229F" w:rsidP="002F229F">
            <w:r w:rsidRPr="002F229F">
              <w:t> </w:t>
            </w:r>
          </w:p>
        </w:tc>
        <w:tc>
          <w:tcPr>
            <w:tcW w:w="708" w:type="dxa"/>
            <w:tcBorders>
              <w:top w:val="nil"/>
              <w:left w:val="nil"/>
              <w:bottom w:val="single" w:sz="4" w:space="0" w:color="auto"/>
              <w:right w:val="single" w:sz="4" w:space="0" w:color="auto"/>
            </w:tcBorders>
            <w:shd w:val="clear" w:color="000000" w:fill="FFFFFF"/>
            <w:vAlign w:val="bottom"/>
          </w:tcPr>
          <w:p w:rsidR="002F229F" w:rsidRPr="002F229F" w:rsidRDefault="002F229F" w:rsidP="002F229F">
            <w:r w:rsidRPr="002F229F">
              <w:t> </w:t>
            </w:r>
          </w:p>
        </w:tc>
        <w:tc>
          <w:tcPr>
            <w:tcW w:w="851" w:type="dxa"/>
            <w:tcBorders>
              <w:top w:val="nil"/>
              <w:left w:val="nil"/>
              <w:bottom w:val="single" w:sz="4" w:space="0" w:color="auto"/>
              <w:right w:val="nil"/>
            </w:tcBorders>
            <w:shd w:val="clear" w:color="000000" w:fill="FFFFFF"/>
            <w:vAlign w:val="bottom"/>
          </w:tcPr>
          <w:p w:rsidR="002F229F" w:rsidRPr="002F229F" w:rsidRDefault="002F229F" w:rsidP="002F229F">
            <w:pPr>
              <w:jc w:val="right"/>
            </w:pPr>
            <w:r w:rsidRPr="002F229F">
              <w:t>88</w:t>
            </w:r>
          </w:p>
        </w:tc>
        <w:tc>
          <w:tcPr>
            <w:tcW w:w="1417" w:type="dxa"/>
            <w:tcBorders>
              <w:top w:val="nil"/>
              <w:left w:val="single" w:sz="4" w:space="0" w:color="auto"/>
              <w:bottom w:val="single" w:sz="4" w:space="0" w:color="auto"/>
              <w:right w:val="nil"/>
            </w:tcBorders>
            <w:shd w:val="clear" w:color="000000" w:fill="FFFFFF"/>
            <w:vAlign w:val="bottom"/>
          </w:tcPr>
          <w:p w:rsidR="002F229F" w:rsidRPr="002F229F" w:rsidRDefault="002F229F" w:rsidP="002F229F">
            <w:r w:rsidRPr="002F229F">
              <w:t> </w:t>
            </w:r>
          </w:p>
        </w:tc>
        <w:tc>
          <w:tcPr>
            <w:tcW w:w="1293" w:type="dxa"/>
            <w:tcBorders>
              <w:top w:val="nil"/>
              <w:left w:val="single" w:sz="4" w:space="0" w:color="auto"/>
              <w:bottom w:val="single" w:sz="4" w:space="0" w:color="auto"/>
              <w:right w:val="nil"/>
            </w:tcBorders>
            <w:shd w:val="clear" w:color="000000" w:fill="FFFFFF"/>
            <w:vAlign w:val="bottom"/>
          </w:tcPr>
          <w:p w:rsidR="002F229F" w:rsidRPr="002F229F" w:rsidRDefault="002F229F" w:rsidP="002F229F">
            <w:r w:rsidRPr="002F229F">
              <w:t> </w:t>
            </w:r>
          </w:p>
        </w:tc>
        <w:tc>
          <w:tcPr>
            <w:tcW w:w="1401" w:type="dxa"/>
            <w:tcBorders>
              <w:top w:val="nil"/>
              <w:left w:val="single" w:sz="4" w:space="0" w:color="auto"/>
              <w:bottom w:val="single" w:sz="4" w:space="0" w:color="auto"/>
              <w:right w:val="single" w:sz="4" w:space="0" w:color="auto"/>
            </w:tcBorders>
            <w:shd w:val="clear" w:color="000000" w:fill="FFFFFF"/>
            <w:vAlign w:val="bottom"/>
          </w:tcPr>
          <w:p w:rsidR="002F229F" w:rsidRPr="002F229F" w:rsidRDefault="002F229F" w:rsidP="002F229F">
            <w:pPr>
              <w:jc w:val="right"/>
            </w:pPr>
            <w:r w:rsidRPr="002F229F">
              <w:t>88</w:t>
            </w:r>
          </w:p>
        </w:tc>
      </w:tr>
      <w:tr w:rsidR="002F229F" w:rsidRPr="000A5967" w:rsidTr="00712864">
        <w:trPr>
          <w:trHeight w:val="214"/>
        </w:trPr>
        <w:tc>
          <w:tcPr>
            <w:tcW w:w="2617" w:type="dxa"/>
            <w:tcBorders>
              <w:top w:val="single" w:sz="4" w:space="0" w:color="auto"/>
              <w:left w:val="double" w:sz="6" w:space="0" w:color="auto"/>
              <w:bottom w:val="single" w:sz="4" w:space="0" w:color="auto"/>
              <w:right w:val="single" w:sz="4" w:space="0" w:color="auto"/>
            </w:tcBorders>
            <w:vAlign w:val="bottom"/>
          </w:tcPr>
          <w:p w:rsidR="002F229F" w:rsidRPr="00082F0A" w:rsidRDefault="002F229F" w:rsidP="002F229F">
            <w:pPr>
              <w:rPr>
                <w:sz w:val="22"/>
                <w:szCs w:val="22"/>
              </w:rPr>
            </w:pPr>
            <w:r w:rsidRPr="00082F0A">
              <w:rPr>
                <w:sz w:val="22"/>
                <w:szCs w:val="22"/>
              </w:rPr>
              <w:t>ЕРА АС</w:t>
            </w:r>
          </w:p>
        </w:tc>
        <w:tc>
          <w:tcPr>
            <w:tcW w:w="1016" w:type="dxa"/>
            <w:tcBorders>
              <w:top w:val="nil"/>
              <w:left w:val="single" w:sz="4" w:space="0" w:color="auto"/>
              <w:bottom w:val="single" w:sz="4" w:space="0" w:color="auto"/>
              <w:right w:val="single" w:sz="4" w:space="0" w:color="auto"/>
            </w:tcBorders>
            <w:shd w:val="clear" w:color="auto" w:fill="auto"/>
            <w:vAlign w:val="bottom"/>
          </w:tcPr>
          <w:p w:rsidR="002F229F" w:rsidRPr="002F229F" w:rsidRDefault="002F229F" w:rsidP="002F229F">
            <w:pPr>
              <w:jc w:val="right"/>
            </w:pPr>
            <w:r w:rsidRPr="002F229F">
              <w:t>423</w:t>
            </w:r>
          </w:p>
        </w:tc>
        <w:tc>
          <w:tcPr>
            <w:tcW w:w="709" w:type="dxa"/>
            <w:tcBorders>
              <w:top w:val="nil"/>
              <w:left w:val="nil"/>
              <w:bottom w:val="single" w:sz="4" w:space="0" w:color="auto"/>
              <w:right w:val="single" w:sz="4" w:space="0" w:color="auto"/>
            </w:tcBorders>
            <w:shd w:val="clear" w:color="000000" w:fill="FFFFFF"/>
            <w:vAlign w:val="bottom"/>
          </w:tcPr>
          <w:p w:rsidR="002F229F" w:rsidRPr="002F229F" w:rsidRDefault="002F229F" w:rsidP="002F229F">
            <w:r w:rsidRPr="002F229F">
              <w:t> </w:t>
            </w:r>
          </w:p>
        </w:tc>
        <w:tc>
          <w:tcPr>
            <w:tcW w:w="708" w:type="dxa"/>
            <w:tcBorders>
              <w:top w:val="nil"/>
              <w:left w:val="nil"/>
              <w:bottom w:val="single" w:sz="4" w:space="0" w:color="auto"/>
              <w:right w:val="single" w:sz="4" w:space="0" w:color="auto"/>
            </w:tcBorders>
            <w:shd w:val="clear" w:color="000000" w:fill="FFFFFF"/>
            <w:vAlign w:val="bottom"/>
          </w:tcPr>
          <w:p w:rsidR="002F229F" w:rsidRPr="002F229F" w:rsidRDefault="002F229F" w:rsidP="002F229F">
            <w:r w:rsidRPr="002F229F">
              <w:t> </w:t>
            </w:r>
          </w:p>
        </w:tc>
        <w:tc>
          <w:tcPr>
            <w:tcW w:w="851" w:type="dxa"/>
            <w:tcBorders>
              <w:top w:val="nil"/>
              <w:left w:val="nil"/>
              <w:bottom w:val="single" w:sz="4" w:space="0" w:color="auto"/>
              <w:right w:val="nil"/>
            </w:tcBorders>
            <w:shd w:val="clear" w:color="000000" w:fill="FFFFFF"/>
            <w:vAlign w:val="bottom"/>
          </w:tcPr>
          <w:p w:rsidR="002F229F" w:rsidRPr="002F229F" w:rsidRDefault="002F229F" w:rsidP="002F229F">
            <w:pPr>
              <w:jc w:val="right"/>
            </w:pPr>
            <w:r w:rsidRPr="002F229F">
              <w:t>423</w:t>
            </w:r>
          </w:p>
        </w:tc>
        <w:tc>
          <w:tcPr>
            <w:tcW w:w="1417" w:type="dxa"/>
            <w:tcBorders>
              <w:top w:val="nil"/>
              <w:left w:val="single" w:sz="4" w:space="0" w:color="auto"/>
              <w:bottom w:val="single" w:sz="4" w:space="0" w:color="auto"/>
              <w:right w:val="nil"/>
            </w:tcBorders>
            <w:shd w:val="clear" w:color="000000" w:fill="FFFFFF"/>
            <w:vAlign w:val="bottom"/>
          </w:tcPr>
          <w:p w:rsidR="002F229F" w:rsidRPr="002F229F" w:rsidRDefault="002F229F" w:rsidP="002F229F">
            <w:r w:rsidRPr="002F229F">
              <w:t> </w:t>
            </w:r>
          </w:p>
        </w:tc>
        <w:tc>
          <w:tcPr>
            <w:tcW w:w="1293" w:type="dxa"/>
            <w:tcBorders>
              <w:top w:val="nil"/>
              <w:left w:val="single" w:sz="4" w:space="0" w:color="auto"/>
              <w:bottom w:val="single" w:sz="4" w:space="0" w:color="auto"/>
              <w:right w:val="nil"/>
            </w:tcBorders>
            <w:shd w:val="clear" w:color="000000" w:fill="FFFFFF"/>
            <w:vAlign w:val="bottom"/>
          </w:tcPr>
          <w:p w:rsidR="002F229F" w:rsidRPr="002F229F" w:rsidRDefault="002F229F" w:rsidP="002F229F">
            <w:r w:rsidRPr="002F229F">
              <w:t> </w:t>
            </w:r>
          </w:p>
        </w:tc>
        <w:tc>
          <w:tcPr>
            <w:tcW w:w="1401" w:type="dxa"/>
            <w:tcBorders>
              <w:top w:val="nil"/>
              <w:left w:val="single" w:sz="4" w:space="0" w:color="auto"/>
              <w:bottom w:val="single" w:sz="4" w:space="0" w:color="auto"/>
              <w:right w:val="single" w:sz="4" w:space="0" w:color="auto"/>
            </w:tcBorders>
            <w:shd w:val="clear" w:color="000000" w:fill="FFFFFF"/>
            <w:vAlign w:val="bottom"/>
          </w:tcPr>
          <w:p w:rsidR="002F229F" w:rsidRPr="002F229F" w:rsidRDefault="002F229F" w:rsidP="002F229F">
            <w:pPr>
              <w:jc w:val="right"/>
            </w:pPr>
            <w:r w:rsidRPr="002F229F">
              <w:t>423</w:t>
            </w:r>
          </w:p>
        </w:tc>
      </w:tr>
      <w:tr w:rsidR="002F229F" w:rsidRPr="000A5967" w:rsidTr="00712864">
        <w:trPr>
          <w:trHeight w:val="214"/>
        </w:trPr>
        <w:tc>
          <w:tcPr>
            <w:tcW w:w="2617" w:type="dxa"/>
            <w:tcBorders>
              <w:top w:val="single" w:sz="4" w:space="0" w:color="auto"/>
              <w:left w:val="double" w:sz="6" w:space="0" w:color="auto"/>
              <w:bottom w:val="single" w:sz="4" w:space="0" w:color="auto"/>
              <w:right w:val="single" w:sz="4" w:space="0" w:color="auto"/>
            </w:tcBorders>
            <w:vAlign w:val="bottom"/>
          </w:tcPr>
          <w:p w:rsidR="002F229F" w:rsidRPr="00082F0A" w:rsidRDefault="002F229F" w:rsidP="002F229F">
            <w:pPr>
              <w:rPr>
                <w:sz w:val="22"/>
                <w:szCs w:val="22"/>
              </w:rPr>
            </w:pPr>
            <w:r>
              <w:rPr>
                <w:sz w:val="22"/>
                <w:szCs w:val="22"/>
              </w:rPr>
              <w:t>РОДЕ ШВАРЦ</w:t>
            </w:r>
          </w:p>
        </w:tc>
        <w:tc>
          <w:tcPr>
            <w:tcW w:w="1016" w:type="dxa"/>
            <w:tcBorders>
              <w:top w:val="nil"/>
              <w:left w:val="single" w:sz="4" w:space="0" w:color="auto"/>
              <w:bottom w:val="single" w:sz="4" w:space="0" w:color="auto"/>
              <w:right w:val="single" w:sz="4" w:space="0" w:color="auto"/>
            </w:tcBorders>
            <w:shd w:val="clear" w:color="auto" w:fill="auto"/>
            <w:vAlign w:val="bottom"/>
          </w:tcPr>
          <w:p w:rsidR="002F229F" w:rsidRPr="002F229F" w:rsidRDefault="002F229F" w:rsidP="002F229F">
            <w:pPr>
              <w:jc w:val="right"/>
            </w:pPr>
            <w:r w:rsidRPr="002F229F">
              <w:t>1,144</w:t>
            </w:r>
          </w:p>
        </w:tc>
        <w:tc>
          <w:tcPr>
            <w:tcW w:w="709" w:type="dxa"/>
            <w:tcBorders>
              <w:top w:val="nil"/>
              <w:left w:val="nil"/>
              <w:bottom w:val="single" w:sz="4" w:space="0" w:color="auto"/>
              <w:right w:val="single" w:sz="4" w:space="0" w:color="auto"/>
            </w:tcBorders>
            <w:shd w:val="clear" w:color="000000" w:fill="FFFFFF"/>
            <w:vAlign w:val="bottom"/>
          </w:tcPr>
          <w:p w:rsidR="002F229F" w:rsidRPr="002F229F" w:rsidRDefault="002F229F" w:rsidP="002F229F">
            <w:pPr>
              <w:jc w:val="right"/>
            </w:pPr>
            <w:r w:rsidRPr="002F229F">
              <w:t>1,144</w:t>
            </w:r>
          </w:p>
        </w:tc>
        <w:tc>
          <w:tcPr>
            <w:tcW w:w="708" w:type="dxa"/>
            <w:tcBorders>
              <w:top w:val="nil"/>
              <w:left w:val="nil"/>
              <w:bottom w:val="single" w:sz="4" w:space="0" w:color="auto"/>
              <w:right w:val="single" w:sz="4" w:space="0" w:color="auto"/>
            </w:tcBorders>
            <w:shd w:val="clear" w:color="000000" w:fill="FFFFFF"/>
            <w:vAlign w:val="bottom"/>
          </w:tcPr>
          <w:p w:rsidR="002F229F" w:rsidRPr="002F229F" w:rsidRDefault="002F229F" w:rsidP="002F229F">
            <w:r w:rsidRPr="002F229F">
              <w:t> </w:t>
            </w:r>
          </w:p>
        </w:tc>
        <w:tc>
          <w:tcPr>
            <w:tcW w:w="851" w:type="dxa"/>
            <w:tcBorders>
              <w:top w:val="nil"/>
              <w:left w:val="nil"/>
              <w:bottom w:val="single" w:sz="4" w:space="0" w:color="auto"/>
              <w:right w:val="nil"/>
            </w:tcBorders>
            <w:shd w:val="clear" w:color="000000" w:fill="FFFFFF"/>
            <w:vAlign w:val="bottom"/>
          </w:tcPr>
          <w:p w:rsidR="002F229F" w:rsidRPr="002F229F" w:rsidRDefault="002F229F" w:rsidP="002F229F">
            <w:r w:rsidRPr="002F229F">
              <w:t> </w:t>
            </w:r>
          </w:p>
        </w:tc>
        <w:tc>
          <w:tcPr>
            <w:tcW w:w="1417" w:type="dxa"/>
            <w:tcBorders>
              <w:top w:val="nil"/>
              <w:left w:val="single" w:sz="4" w:space="0" w:color="auto"/>
              <w:bottom w:val="single" w:sz="4" w:space="0" w:color="auto"/>
              <w:right w:val="nil"/>
            </w:tcBorders>
            <w:shd w:val="clear" w:color="000000" w:fill="FFFFFF"/>
            <w:vAlign w:val="bottom"/>
          </w:tcPr>
          <w:p w:rsidR="002F229F" w:rsidRPr="002F229F" w:rsidRDefault="002F229F" w:rsidP="002F229F">
            <w:r w:rsidRPr="002F229F">
              <w:t> </w:t>
            </w:r>
          </w:p>
        </w:tc>
        <w:tc>
          <w:tcPr>
            <w:tcW w:w="1293" w:type="dxa"/>
            <w:tcBorders>
              <w:top w:val="nil"/>
              <w:left w:val="single" w:sz="4" w:space="0" w:color="auto"/>
              <w:bottom w:val="single" w:sz="4" w:space="0" w:color="auto"/>
              <w:right w:val="nil"/>
            </w:tcBorders>
            <w:shd w:val="clear" w:color="000000" w:fill="FFFFFF"/>
            <w:vAlign w:val="bottom"/>
          </w:tcPr>
          <w:p w:rsidR="002F229F" w:rsidRPr="002F229F" w:rsidRDefault="002F229F" w:rsidP="002F229F">
            <w:r w:rsidRPr="002F229F">
              <w:t> </w:t>
            </w:r>
          </w:p>
        </w:tc>
        <w:tc>
          <w:tcPr>
            <w:tcW w:w="1401" w:type="dxa"/>
            <w:tcBorders>
              <w:top w:val="nil"/>
              <w:left w:val="single" w:sz="4" w:space="0" w:color="auto"/>
              <w:bottom w:val="single" w:sz="4" w:space="0" w:color="auto"/>
              <w:right w:val="single" w:sz="4" w:space="0" w:color="auto"/>
            </w:tcBorders>
            <w:shd w:val="clear" w:color="000000" w:fill="FFFFFF"/>
            <w:vAlign w:val="bottom"/>
          </w:tcPr>
          <w:p w:rsidR="002F229F" w:rsidRPr="002F229F" w:rsidRDefault="002F229F" w:rsidP="002F229F">
            <w:pPr>
              <w:jc w:val="right"/>
            </w:pPr>
            <w:r w:rsidRPr="002F229F">
              <w:t>1,144</w:t>
            </w:r>
          </w:p>
        </w:tc>
      </w:tr>
      <w:tr w:rsidR="002F229F" w:rsidRPr="000A5967" w:rsidTr="00712864">
        <w:trPr>
          <w:trHeight w:val="214"/>
        </w:trPr>
        <w:tc>
          <w:tcPr>
            <w:tcW w:w="2617" w:type="dxa"/>
            <w:tcBorders>
              <w:top w:val="single" w:sz="4" w:space="0" w:color="auto"/>
              <w:left w:val="double" w:sz="6" w:space="0" w:color="auto"/>
              <w:bottom w:val="single" w:sz="4" w:space="0" w:color="auto"/>
              <w:right w:val="single" w:sz="4" w:space="0" w:color="auto"/>
            </w:tcBorders>
            <w:vAlign w:val="bottom"/>
          </w:tcPr>
          <w:p w:rsidR="002F229F" w:rsidRPr="00082F0A" w:rsidRDefault="002F229F" w:rsidP="002F229F">
            <w:pPr>
              <w:rPr>
                <w:sz w:val="22"/>
                <w:szCs w:val="22"/>
              </w:rPr>
            </w:pPr>
            <w:r w:rsidRPr="00082F0A">
              <w:rPr>
                <w:sz w:val="22"/>
                <w:szCs w:val="22"/>
              </w:rPr>
              <w:t>АК  БАЛКАН АД - гр.дело 194/2001г.</w:t>
            </w:r>
          </w:p>
        </w:tc>
        <w:tc>
          <w:tcPr>
            <w:tcW w:w="1016" w:type="dxa"/>
            <w:tcBorders>
              <w:top w:val="nil"/>
              <w:left w:val="single" w:sz="4" w:space="0" w:color="auto"/>
              <w:bottom w:val="single" w:sz="4" w:space="0" w:color="auto"/>
              <w:right w:val="single" w:sz="4" w:space="0" w:color="auto"/>
            </w:tcBorders>
            <w:shd w:val="clear" w:color="auto" w:fill="auto"/>
            <w:vAlign w:val="bottom"/>
          </w:tcPr>
          <w:p w:rsidR="002F229F" w:rsidRPr="002F229F" w:rsidRDefault="002F229F" w:rsidP="002F229F">
            <w:pPr>
              <w:jc w:val="right"/>
            </w:pPr>
            <w:r w:rsidRPr="002F229F">
              <w:t>14,117</w:t>
            </w:r>
          </w:p>
        </w:tc>
        <w:tc>
          <w:tcPr>
            <w:tcW w:w="709" w:type="dxa"/>
            <w:tcBorders>
              <w:top w:val="nil"/>
              <w:left w:val="nil"/>
              <w:bottom w:val="single" w:sz="4" w:space="0" w:color="auto"/>
              <w:right w:val="single" w:sz="4" w:space="0" w:color="auto"/>
            </w:tcBorders>
            <w:shd w:val="clear" w:color="000000" w:fill="FFFFFF"/>
            <w:vAlign w:val="bottom"/>
          </w:tcPr>
          <w:p w:rsidR="002F229F" w:rsidRPr="002F229F" w:rsidRDefault="002F229F" w:rsidP="002F229F">
            <w:r w:rsidRPr="002F229F">
              <w:t> </w:t>
            </w:r>
          </w:p>
        </w:tc>
        <w:tc>
          <w:tcPr>
            <w:tcW w:w="708" w:type="dxa"/>
            <w:tcBorders>
              <w:top w:val="nil"/>
              <w:left w:val="nil"/>
              <w:bottom w:val="single" w:sz="4" w:space="0" w:color="auto"/>
              <w:right w:val="single" w:sz="4" w:space="0" w:color="auto"/>
            </w:tcBorders>
            <w:shd w:val="clear" w:color="000000" w:fill="FFFFFF"/>
            <w:vAlign w:val="bottom"/>
          </w:tcPr>
          <w:p w:rsidR="002F229F" w:rsidRPr="002F229F" w:rsidRDefault="002F229F" w:rsidP="002F229F">
            <w:r w:rsidRPr="002F229F">
              <w:t> </w:t>
            </w:r>
          </w:p>
        </w:tc>
        <w:tc>
          <w:tcPr>
            <w:tcW w:w="851" w:type="dxa"/>
            <w:tcBorders>
              <w:top w:val="nil"/>
              <w:left w:val="nil"/>
              <w:bottom w:val="single" w:sz="4" w:space="0" w:color="auto"/>
              <w:right w:val="nil"/>
            </w:tcBorders>
            <w:shd w:val="clear" w:color="000000" w:fill="FFFFFF"/>
            <w:vAlign w:val="bottom"/>
          </w:tcPr>
          <w:p w:rsidR="002F229F" w:rsidRPr="002F229F" w:rsidRDefault="002F229F" w:rsidP="002F229F">
            <w:r w:rsidRPr="002F229F">
              <w:t> </w:t>
            </w:r>
          </w:p>
        </w:tc>
        <w:tc>
          <w:tcPr>
            <w:tcW w:w="1417" w:type="dxa"/>
            <w:tcBorders>
              <w:top w:val="nil"/>
              <w:left w:val="single" w:sz="4" w:space="0" w:color="auto"/>
              <w:bottom w:val="single" w:sz="4" w:space="0" w:color="auto"/>
              <w:right w:val="nil"/>
            </w:tcBorders>
            <w:shd w:val="clear" w:color="000000" w:fill="FFFFFF"/>
            <w:vAlign w:val="bottom"/>
          </w:tcPr>
          <w:p w:rsidR="002F229F" w:rsidRPr="002F229F" w:rsidRDefault="002F229F" w:rsidP="002F229F">
            <w:pPr>
              <w:jc w:val="right"/>
            </w:pPr>
            <w:r w:rsidRPr="002F229F">
              <w:t>14,117</w:t>
            </w:r>
          </w:p>
        </w:tc>
        <w:tc>
          <w:tcPr>
            <w:tcW w:w="1293" w:type="dxa"/>
            <w:tcBorders>
              <w:top w:val="nil"/>
              <w:left w:val="single" w:sz="4" w:space="0" w:color="auto"/>
              <w:bottom w:val="single" w:sz="4" w:space="0" w:color="auto"/>
              <w:right w:val="nil"/>
            </w:tcBorders>
            <w:shd w:val="clear" w:color="000000" w:fill="FFFFFF"/>
            <w:vAlign w:val="bottom"/>
          </w:tcPr>
          <w:p w:rsidR="002F229F" w:rsidRPr="002F229F" w:rsidRDefault="002F229F" w:rsidP="002F229F">
            <w:r w:rsidRPr="002F229F">
              <w:t> </w:t>
            </w:r>
          </w:p>
        </w:tc>
        <w:tc>
          <w:tcPr>
            <w:tcW w:w="1401" w:type="dxa"/>
            <w:tcBorders>
              <w:top w:val="nil"/>
              <w:left w:val="single" w:sz="4" w:space="0" w:color="auto"/>
              <w:bottom w:val="single" w:sz="4" w:space="0" w:color="auto"/>
              <w:right w:val="single" w:sz="4" w:space="0" w:color="auto"/>
            </w:tcBorders>
            <w:shd w:val="clear" w:color="000000" w:fill="FFFFFF"/>
            <w:vAlign w:val="bottom"/>
          </w:tcPr>
          <w:p w:rsidR="002F229F" w:rsidRPr="002F229F" w:rsidRDefault="002F229F" w:rsidP="002F229F">
            <w:pPr>
              <w:jc w:val="right"/>
            </w:pPr>
            <w:r w:rsidRPr="002F229F">
              <w:t>14,117</w:t>
            </w:r>
          </w:p>
        </w:tc>
      </w:tr>
      <w:tr w:rsidR="002F229F" w:rsidRPr="002F229F" w:rsidTr="00712864">
        <w:trPr>
          <w:trHeight w:val="227"/>
        </w:trPr>
        <w:tc>
          <w:tcPr>
            <w:tcW w:w="2617" w:type="dxa"/>
            <w:tcBorders>
              <w:top w:val="single" w:sz="4" w:space="0" w:color="auto"/>
              <w:left w:val="double" w:sz="6" w:space="0" w:color="auto"/>
              <w:bottom w:val="double" w:sz="4" w:space="0" w:color="auto"/>
              <w:right w:val="single" w:sz="4" w:space="0" w:color="auto"/>
            </w:tcBorders>
            <w:vAlign w:val="bottom"/>
          </w:tcPr>
          <w:p w:rsidR="002F229F" w:rsidRPr="00082F0A" w:rsidRDefault="002F229F" w:rsidP="002F229F">
            <w:pPr>
              <w:rPr>
                <w:b/>
                <w:bCs/>
                <w:sz w:val="22"/>
                <w:szCs w:val="22"/>
              </w:rPr>
            </w:pPr>
            <w:r w:rsidRPr="00082F0A">
              <w:rPr>
                <w:b/>
                <w:bCs/>
                <w:sz w:val="22"/>
                <w:szCs w:val="22"/>
              </w:rPr>
              <w:t>Обща сума</w:t>
            </w:r>
          </w:p>
        </w:tc>
        <w:tc>
          <w:tcPr>
            <w:tcW w:w="1016" w:type="dxa"/>
            <w:tcBorders>
              <w:top w:val="nil"/>
              <w:left w:val="single" w:sz="4" w:space="0" w:color="auto"/>
              <w:bottom w:val="double" w:sz="6" w:space="0" w:color="auto"/>
              <w:right w:val="single" w:sz="4" w:space="0" w:color="auto"/>
            </w:tcBorders>
            <w:shd w:val="clear" w:color="auto" w:fill="auto"/>
            <w:vAlign w:val="bottom"/>
          </w:tcPr>
          <w:p w:rsidR="002F229F" w:rsidRPr="002F229F" w:rsidRDefault="002F229F" w:rsidP="002F229F">
            <w:pPr>
              <w:jc w:val="right"/>
              <w:rPr>
                <w:b/>
                <w:bCs/>
              </w:rPr>
            </w:pPr>
            <w:r w:rsidRPr="002F229F">
              <w:rPr>
                <w:b/>
                <w:bCs/>
              </w:rPr>
              <w:t>15,881</w:t>
            </w:r>
          </w:p>
        </w:tc>
        <w:tc>
          <w:tcPr>
            <w:tcW w:w="709" w:type="dxa"/>
            <w:tcBorders>
              <w:top w:val="nil"/>
              <w:left w:val="nil"/>
              <w:bottom w:val="double" w:sz="6" w:space="0" w:color="auto"/>
              <w:right w:val="single" w:sz="4" w:space="0" w:color="auto"/>
            </w:tcBorders>
            <w:shd w:val="clear" w:color="auto" w:fill="auto"/>
            <w:vAlign w:val="bottom"/>
          </w:tcPr>
          <w:p w:rsidR="002F229F" w:rsidRPr="002F229F" w:rsidRDefault="002F229F" w:rsidP="002F229F">
            <w:pPr>
              <w:jc w:val="center"/>
              <w:rPr>
                <w:b/>
                <w:bCs/>
              </w:rPr>
            </w:pPr>
            <w:r w:rsidRPr="002F229F">
              <w:rPr>
                <w:b/>
                <w:bCs/>
              </w:rPr>
              <w:t xml:space="preserve">        1,144    </w:t>
            </w:r>
          </w:p>
        </w:tc>
        <w:tc>
          <w:tcPr>
            <w:tcW w:w="708" w:type="dxa"/>
            <w:tcBorders>
              <w:top w:val="nil"/>
              <w:left w:val="nil"/>
              <w:bottom w:val="double" w:sz="6" w:space="0" w:color="auto"/>
              <w:right w:val="single" w:sz="4" w:space="0" w:color="auto"/>
            </w:tcBorders>
            <w:shd w:val="clear" w:color="auto" w:fill="auto"/>
            <w:vAlign w:val="bottom"/>
          </w:tcPr>
          <w:p w:rsidR="002F229F" w:rsidRPr="002F229F" w:rsidRDefault="002F229F" w:rsidP="002F229F">
            <w:pPr>
              <w:rPr>
                <w:b/>
                <w:bCs/>
              </w:rPr>
            </w:pPr>
            <w:r w:rsidRPr="002F229F">
              <w:rPr>
                <w:b/>
                <w:bCs/>
              </w:rPr>
              <w:t xml:space="preserve">                  -      </w:t>
            </w:r>
          </w:p>
        </w:tc>
        <w:tc>
          <w:tcPr>
            <w:tcW w:w="851" w:type="dxa"/>
            <w:tcBorders>
              <w:top w:val="nil"/>
              <w:left w:val="nil"/>
              <w:bottom w:val="double" w:sz="6" w:space="0" w:color="auto"/>
              <w:right w:val="single" w:sz="4" w:space="0" w:color="auto"/>
            </w:tcBorders>
            <w:shd w:val="clear" w:color="auto" w:fill="auto"/>
            <w:vAlign w:val="bottom"/>
          </w:tcPr>
          <w:p w:rsidR="002F229F" w:rsidRPr="002F229F" w:rsidRDefault="002F229F" w:rsidP="002F229F">
            <w:pPr>
              <w:jc w:val="right"/>
              <w:rPr>
                <w:b/>
                <w:bCs/>
              </w:rPr>
            </w:pPr>
            <w:r w:rsidRPr="002F229F">
              <w:rPr>
                <w:b/>
                <w:bCs/>
              </w:rPr>
              <w:t>620</w:t>
            </w:r>
          </w:p>
        </w:tc>
        <w:tc>
          <w:tcPr>
            <w:tcW w:w="1417" w:type="dxa"/>
            <w:tcBorders>
              <w:top w:val="nil"/>
              <w:left w:val="nil"/>
              <w:bottom w:val="double" w:sz="6" w:space="0" w:color="auto"/>
              <w:right w:val="single" w:sz="4" w:space="0" w:color="auto"/>
            </w:tcBorders>
            <w:shd w:val="clear" w:color="auto" w:fill="auto"/>
            <w:vAlign w:val="bottom"/>
          </w:tcPr>
          <w:p w:rsidR="002F229F" w:rsidRPr="002F229F" w:rsidRDefault="002F229F" w:rsidP="002F229F">
            <w:pPr>
              <w:jc w:val="right"/>
              <w:rPr>
                <w:b/>
                <w:bCs/>
              </w:rPr>
            </w:pPr>
            <w:r w:rsidRPr="002F229F">
              <w:rPr>
                <w:b/>
                <w:bCs/>
              </w:rPr>
              <w:t>14,117</w:t>
            </w:r>
          </w:p>
        </w:tc>
        <w:tc>
          <w:tcPr>
            <w:tcW w:w="1293" w:type="dxa"/>
            <w:tcBorders>
              <w:top w:val="nil"/>
              <w:left w:val="nil"/>
              <w:bottom w:val="double" w:sz="6" w:space="0" w:color="auto"/>
              <w:right w:val="single" w:sz="4" w:space="0" w:color="auto"/>
            </w:tcBorders>
            <w:shd w:val="clear" w:color="auto" w:fill="auto"/>
            <w:vAlign w:val="bottom"/>
          </w:tcPr>
          <w:p w:rsidR="002F229F" w:rsidRPr="002F229F" w:rsidRDefault="002F229F" w:rsidP="002F229F">
            <w:pPr>
              <w:jc w:val="right"/>
              <w:rPr>
                <w:b/>
                <w:bCs/>
              </w:rPr>
            </w:pPr>
            <w:r w:rsidRPr="002F229F">
              <w:rPr>
                <w:b/>
                <w:bCs/>
              </w:rPr>
              <w:t>0</w:t>
            </w:r>
          </w:p>
        </w:tc>
        <w:tc>
          <w:tcPr>
            <w:tcW w:w="1401" w:type="dxa"/>
            <w:tcBorders>
              <w:top w:val="nil"/>
              <w:left w:val="nil"/>
              <w:bottom w:val="double" w:sz="6" w:space="0" w:color="auto"/>
              <w:right w:val="single" w:sz="4" w:space="0" w:color="auto"/>
            </w:tcBorders>
            <w:shd w:val="clear" w:color="auto" w:fill="auto"/>
            <w:vAlign w:val="bottom"/>
          </w:tcPr>
          <w:p w:rsidR="002F229F" w:rsidRPr="002F229F" w:rsidRDefault="002F229F" w:rsidP="002F229F">
            <w:pPr>
              <w:jc w:val="right"/>
              <w:rPr>
                <w:b/>
                <w:bCs/>
              </w:rPr>
            </w:pPr>
            <w:r w:rsidRPr="002F229F">
              <w:rPr>
                <w:b/>
                <w:bCs/>
              </w:rPr>
              <w:t>15,881</w:t>
            </w:r>
          </w:p>
        </w:tc>
      </w:tr>
    </w:tbl>
    <w:p w:rsidR="00720EDC" w:rsidRDefault="005B3108" w:rsidP="00082F0A">
      <w:pPr>
        <w:ind w:firstLine="708"/>
        <w:jc w:val="both"/>
        <w:rPr>
          <w:lang w:val="ru-RU"/>
        </w:rPr>
      </w:pPr>
      <w:r w:rsidRPr="00377FC1">
        <w:t>В</w:t>
      </w:r>
      <w:r w:rsidRPr="00377FC1">
        <w:rPr>
          <w:lang w:val="ru-RU"/>
        </w:rPr>
        <w:t xml:space="preserve"> </w:t>
      </w:r>
      <w:r w:rsidR="003C5DC8" w:rsidRPr="00377FC1">
        <w:rPr>
          <w:lang w:val="ru-RU"/>
        </w:rPr>
        <w:t>горната таблица</w:t>
      </w:r>
      <w:r w:rsidRPr="00377FC1">
        <w:t xml:space="preserve"> са представени някои по-значителни вземания.</w:t>
      </w:r>
      <w:r w:rsidRPr="00377FC1">
        <w:rPr>
          <w:lang w:val="ru-RU"/>
        </w:rPr>
        <w:t xml:space="preserve"> </w:t>
      </w:r>
      <w:r w:rsidRPr="00377FC1">
        <w:t>Ч</w:t>
      </w:r>
      <w:r w:rsidRPr="00377FC1">
        <w:rPr>
          <w:lang w:val="ru-RU"/>
        </w:rPr>
        <w:t xml:space="preserve">аст от вземанията на ДП РВД </w:t>
      </w:r>
      <w:r w:rsidRPr="00377FC1">
        <w:t>са п</w:t>
      </w:r>
      <w:r w:rsidRPr="00377FC1">
        <w:rPr>
          <w:lang w:val="ru-RU"/>
        </w:rPr>
        <w:t>росрочени, но това са с</w:t>
      </w:r>
      <w:r w:rsidR="006E2B8D" w:rsidRPr="00377FC1">
        <w:rPr>
          <w:lang w:val="ru-RU"/>
        </w:rPr>
        <w:t>амо съдеб</w:t>
      </w:r>
      <w:r w:rsidR="00762CBD" w:rsidRPr="00377FC1">
        <w:rPr>
          <w:lang w:val="ru-RU"/>
        </w:rPr>
        <w:t>ни взема</w:t>
      </w:r>
      <w:r w:rsidR="00EB42EE" w:rsidRPr="00377FC1">
        <w:rPr>
          <w:lang w:val="ru-RU"/>
        </w:rPr>
        <w:t>н</w:t>
      </w:r>
      <w:r w:rsidR="002E262B" w:rsidRPr="00377FC1">
        <w:rPr>
          <w:lang w:val="ru-RU"/>
        </w:rPr>
        <w:t xml:space="preserve">ия </w:t>
      </w:r>
      <w:r w:rsidR="00944690" w:rsidRPr="00377FC1">
        <w:rPr>
          <w:lang w:val="ru-RU"/>
        </w:rPr>
        <w:t>(</w:t>
      </w:r>
      <w:r w:rsidR="002E262B" w:rsidRPr="00377FC1">
        <w:rPr>
          <w:lang w:val="ru-RU"/>
        </w:rPr>
        <w:t>от тях</w:t>
      </w:r>
      <w:r w:rsidR="00B46725" w:rsidRPr="00377FC1">
        <w:rPr>
          <w:lang w:val="ru-RU"/>
        </w:rPr>
        <w:t xml:space="preserve"> </w:t>
      </w:r>
      <w:r w:rsidR="00AD64C3" w:rsidRPr="00377FC1">
        <w:rPr>
          <w:lang w:val="en-US"/>
        </w:rPr>
        <w:t>100</w:t>
      </w:r>
      <w:r w:rsidR="00F443FC" w:rsidRPr="00377FC1">
        <w:rPr>
          <w:lang w:val="ru-RU"/>
        </w:rPr>
        <w:t xml:space="preserve">% са вземания от авиокомпания </w:t>
      </w:r>
      <w:r w:rsidR="00F443FC" w:rsidRPr="00377FC1">
        <w:t>„</w:t>
      </w:r>
      <w:r w:rsidR="003C5DC8" w:rsidRPr="00377FC1">
        <w:rPr>
          <w:lang w:val="ru-RU"/>
        </w:rPr>
        <w:t>Балкан”</w:t>
      </w:r>
      <w:r w:rsidR="00944690" w:rsidRPr="00377FC1">
        <w:rPr>
          <w:lang w:val="ru-RU"/>
        </w:rPr>
        <w:t>)</w:t>
      </w:r>
      <w:r w:rsidR="003C5DC8" w:rsidRPr="00377FC1">
        <w:rPr>
          <w:lang w:val="ru-RU"/>
        </w:rPr>
        <w:t>.</w:t>
      </w:r>
    </w:p>
    <w:p w:rsidR="00AD7A07" w:rsidRPr="00082F0A" w:rsidRDefault="00AD7A07" w:rsidP="00082F0A">
      <w:pPr>
        <w:ind w:firstLine="708"/>
        <w:jc w:val="both"/>
        <w:rPr>
          <w:lang w:val="ru-RU"/>
        </w:rPr>
      </w:pPr>
    </w:p>
    <w:tbl>
      <w:tblPr>
        <w:tblW w:w="4963"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3908"/>
        <w:gridCol w:w="1362"/>
        <w:gridCol w:w="1066"/>
        <w:gridCol w:w="1064"/>
        <w:gridCol w:w="1081"/>
        <w:gridCol w:w="1580"/>
      </w:tblGrid>
      <w:tr w:rsidR="000359CE" w:rsidRPr="00954096" w:rsidTr="007C13BC">
        <w:trPr>
          <w:cantSplit/>
          <w:trHeight w:val="254"/>
        </w:trPr>
        <w:tc>
          <w:tcPr>
            <w:tcW w:w="1942" w:type="pct"/>
            <w:vMerge w:val="restart"/>
            <w:tcBorders>
              <w:top w:val="double" w:sz="6" w:space="0" w:color="auto"/>
            </w:tcBorders>
            <w:vAlign w:val="center"/>
          </w:tcPr>
          <w:p w:rsidR="000359CE" w:rsidRPr="007C13BC" w:rsidRDefault="000359CE" w:rsidP="00F75866">
            <w:pPr>
              <w:jc w:val="center"/>
              <w:rPr>
                <w:b/>
                <w:caps/>
                <w:snapToGrid w:val="0"/>
                <w:lang w:eastAsia="en-US"/>
              </w:rPr>
            </w:pPr>
            <w:r w:rsidRPr="007C13BC">
              <w:rPr>
                <w:b/>
                <w:caps/>
                <w:snapToGrid w:val="0"/>
                <w:lang w:val="ru-RU" w:eastAsia="en-US"/>
              </w:rPr>
              <w:t>Задължения по контрагенти</w:t>
            </w:r>
            <w:r w:rsidRPr="007C13BC">
              <w:rPr>
                <w:b/>
                <w:caps/>
                <w:snapToGrid w:val="0"/>
                <w:lang w:eastAsia="en-US"/>
              </w:rPr>
              <w:t xml:space="preserve"> (ХИЛ. ЛВ.)</w:t>
            </w:r>
          </w:p>
        </w:tc>
        <w:tc>
          <w:tcPr>
            <w:tcW w:w="677" w:type="pct"/>
            <w:vMerge w:val="restart"/>
            <w:tcBorders>
              <w:top w:val="double" w:sz="6" w:space="0" w:color="auto"/>
            </w:tcBorders>
            <w:vAlign w:val="center"/>
          </w:tcPr>
          <w:p w:rsidR="000359CE" w:rsidRPr="007C13BC" w:rsidRDefault="000359CE" w:rsidP="00F75866">
            <w:pPr>
              <w:jc w:val="center"/>
              <w:rPr>
                <w:b/>
                <w:snapToGrid w:val="0"/>
                <w:lang w:val="ru-RU" w:eastAsia="en-US"/>
              </w:rPr>
            </w:pPr>
            <w:r w:rsidRPr="007C13BC">
              <w:rPr>
                <w:b/>
                <w:snapToGrid w:val="0"/>
                <w:lang w:val="ru-RU" w:eastAsia="en-US"/>
              </w:rPr>
              <w:t>Общ размер</w:t>
            </w:r>
          </w:p>
        </w:tc>
        <w:tc>
          <w:tcPr>
            <w:tcW w:w="1596" w:type="pct"/>
            <w:gridSpan w:val="3"/>
            <w:tcBorders>
              <w:top w:val="double" w:sz="6" w:space="0" w:color="auto"/>
            </w:tcBorders>
            <w:vAlign w:val="center"/>
          </w:tcPr>
          <w:p w:rsidR="000359CE" w:rsidRPr="007C13BC" w:rsidRDefault="000359CE" w:rsidP="00F75866">
            <w:pPr>
              <w:jc w:val="center"/>
              <w:rPr>
                <w:b/>
              </w:rPr>
            </w:pPr>
            <w:r w:rsidRPr="007C13BC">
              <w:rPr>
                <w:b/>
              </w:rPr>
              <w:t>Възраст на задълженията</w:t>
            </w:r>
          </w:p>
        </w:tc>
        <w:tc>
          <w:tcPr>
            <w:tcW w:w="785" w:type="pct"/>
            <w:vMerge w:val="restart"/>
            <w:tcBorders>
              <w:top w:val="double" w:sz="6" w:space="0" w:color="auto"/>
            </w:tcBorders>
            <w:vAlign w:val="center"/>
          </w:tcPr>
          <w:p w:rsidR="000359CE" w:rsidRPr="007C13BC" w:rsidRDefault="000359CE" w:rsidP="00F75866">
            <w:pPr>
              <w:jc w:val="center"/>
              <w:rPr>
                <w:b/>
                <w:snapToGrid w:val="0"/>
                <w:lang w:val="ru-RU" w:eastAsia="en-US"/>
              </w:rPr>
            </w:pPr>
            <w:r w:rsidRPr="007C13BC">
              <w:rPr>
                <w:b/>
                <w:snapToGrid w:val="0"/>
                <w:lang w:val="ru-RU" w:eastAsia="en-US"/>
              </w:rPr>
              <w:t xml:space="preserve">Просрочени </w:t>
            </w:r>
            <w:r w:rsidRPr="007C13BC">
              <w:rPr>
                <w:b/>
                <w:snapToGrid w:val="0"/>
                <w:lang w:eastAsia="en-US"/>
              </w:rPr>
              <w:t>задължения</w:t>
            </w:r>
          </w:p>
        </w:tc>
      </w:tr>
      <w:tr w:rsidR="000359CE" w:rsidRPr="00954096" w:rsidTr="00172450">
        <w:trPr>
          <w:cantSplit/>
          <w:trHeight w:val="684"/>
        </w:trPr>
        <w:tc>
          <w:tcPr>
            <w:tcW w:w="1942" w:type="pct"/>
            <w:vMerge/>
            <w:tcBorders>
              <w:bottom w:val="single" w:sz="6" w:space="0" w:color="auto"/>
            </w:tcBorders>
          </w:tcPr>
          <w:p w:rsidR="000359CE" w:rsidRPr="007C13BC" w:rsidRDefault="000359CE" w:rsidP="00F75866">
            <w:pPr>
              <w:rPr>
                <w:b/>
                <w:snapToGrid w:val="0"/>
                <w:lang w:val="ru-RU" w:eastAsia="en-US"/>
              </w:rPr>
            </w:pPr>
          </w:p>
        </w:tc>
        <w:tc>
          <w:tcPr>
            <w:tcW w:w="677" w:type="pct"/>
            <w:vMerge/>
            <w:tcBorders>
              <w:bottom w:val="single" w:sz="6" w:space="0" w:color="auto"/>
            </w:tcBorders>
            <w:vAlign w:val="center"/>
          </w:tcPr>
          <w:p w:rsidR="000359CE" w:rsidRPr="007C13BC" w:rsidRDefault="000359CE" w:rsidP="00F75866">
            <w:pPr>
              <w:jc w:val="center"/>
              <w:rPr>
                <w:b/>
                <w:snapToGrid w:val="0"/>
                <w:lang w:val="ru-RU" w:eastAsia="en-US"/>
              </w:rPr>
            </w:pPr>
          </w:p>
        </w:tc>
        <w:tc>
          <w:tcPr>
            <w:tcW w:w="530" w:type="pct"/>
            <w:tcBorders>
              <w:bottom w:val="single" w:sz="6" w:space="0" w:color="auto"/>
            </w:tcBorders>
            <w:vAlign w:val="center"/>
          </w:tcPr>
          <w:p w:rsidR="000359CE" w:rsidRPr="007C13BC" w:rsidRDefault="000359CE" w:rsidP="00F75866">
            <w:pPr>
              <w:jc w:val="center"/>
              <w:rPr>
                <w:b/>
                <w:snapToGrid w:val="0"/>
                <w:lang w:val="ru-RU" w:eastAsia="en-US"/>
              </w:rPr>
            </w:pPr>
            <w:r w:rsidRPr="007C13BC">
              <w:rPr>
                <w:b/>
                <w:snapToGrid w:val="0"/>
                <w:lang w:val="ru-RU" w:eastAsia="en-US"/>
              </w:rPr>
              <w:t>до 3 мес.</w:t>
            </w:r>
          </w:p>
        </w:tc>
        <w:tc>
          <w:tcPr>
            <w:tcW w:w="529" w:type="pct"/>
            <w:tcBorders>
              <w:bottom w:val="single" w:sz="6" w:space="0" w:color="auto"/>
            </w:tcBorders>
            <w:vAlign w:val="center"/>
          </w:tcPr>
          <w:p w:rsidR="000359CE" w:rsidRPr="007C13BC" w:rsidRDefault="000359CE" w:rsidP="00F75866">
            <w:pPr>
              <w:jc w:val="center"/>
              <w:rPr>
                <w:b/>
                <w:snapToGrid w:val="0"/>
                <w:lang w:val="ru-RU" w:eastAsia="en-US"/>
              </w:rPr>
            </w:pPr>
            <w:r w:rsidRPr="007C13BC">
              <w:rPr>
                <w:b/>
                <w:snapToGrid w:val="0"/>
                <w:lang w:val="ru-RU" w:eastAsia="en-US"/>
              </w:rPr>
              <w:t>до 6 мес.</w:t>
            </w:r>
          </w:p>
        </w:tc>
        <w:tc>
          <w:tcPr>
            <w:tcW w:w="537" w:type="pct"/>
            <w:tcBorders>
              <w:bottom w:val="single" w:sz="6" w:space="0" w:color="auto"/>
            </w:tcBorders>
            <w:vAlign w:val="center"/>
          </w:tcPr>
          <w:p w:rsidR="000359CE" w:rsidRPr="007C13BC" w:rsidRDefault="000359CE" w:rsidP="00F75866">
            <w:pPr>
              <w:jc w:val="center"/>
              <w:rPr>
                <w:b/>
                <w:snapToGrid w:val="0"/>
                <w:lang w:val="ru-RU" w:eastAsia="en-US"/>
              </w:rPr>
            </w:pPr>
            <w:r w:rsidRPr="007C13BC">
              <w:rPr>
                <w:b/>
                <w:snapToGrid w:val="0"/>
                <w:lang w:val="ru-RU" w:eastAsia="en-US"/>
              </w:rPr>
              <w:t>над 6 мес.</w:t>
            </w:r>
          </w:p>
        </w:tc>
        <w:tc>
          <w:tcPr>
            <w:tcW w:w="785" w:type="pct"/>
            <w:vMerge/>
            <w:tcBorders>
              <w:bottom w:val="single" w:sz="6" w:space="0" w:color="auto"/>
            </w:tcBorders>
            <w:vAlign w:val="center"/>
          </w:tcPr>
          <w:p w:rsidR="000359CE" w:rsidRPr="007C13BC" w:rsidRDefault="000359CE" w:rsidP="00F75866">
            <w:pPr>
              <w:jc w:val="center"/>
              <w:rPr>
                <w:b/>
                <w:snapToGrid w:val="0"/>
                <w:lang w:val="ru-RU" w:eastAsia="en-US"/>
              </w:rPr>
            </w:pPr>
          </w:p>
        </w:tc>
      </w:tr>
      <w:tr w:rsidR="002F229F" w:rsidRPr="009315FC" w:rsidTr="00591DBF">
        <w:trPr>
          <w:trHeight w:val="125"/>
        </w:trPr>
        <w:tc>
          <w:tcPr>
            <w:tcW w:w="1942" w:type="pct"/>
            <w:tcBorders>
              <w:top w:val="single" w:sz="6" w:space="0" w:color="auto"/>
            </w:tcBorders>
            <w:vAlign w:val="bottom"/>
          </w:tcPr>
          <w:p w:rsidR="002F229F" w:rsidRPr="009315FC" w:rsidRDefault="002F229F" w:rsidP="002F229F">
            <w:r w:rsidRPr="002F229F">
              <w:t>МЕГАТУРС-1 ГК</w:t>
            </w:r>
          </w:p>
        </w:tc>
        <w:tc>
          <w:tcPr>
            <w:tcW w:w="677" w:type="pct"/>
            <w:tcBorders>
              <w:top w:val="single" w:sz="4" w:space="0" w:color="auto"/>
              <w:left w:val="single" w:sz="4" w:space="0" w:color="auto"/>
              <w:bottom w:val="single" w:sz="4" w:space="0" w:color="auto"/>
              <w:right w:val="single" w:sz="4" w:space="0" w:color="auto"/>
            </w:tcBorders>
            <w:shd w:val="clear" w:color="auto" w:fill="auto"/>
            <w:vAlign w:val="bottom"/>
          </w:tcPr>
          <w:p w:rsidR="002F229F" w:rsidRPr="002F229F" w:rsidRDefault="002F229F" w:rsidP="002F229F">
            <w:pPr>
              <w:jc w:val="right"/>
              <w:rPr>
                <w:lang w:eastAsia="bg-BG"/>
              </w:rPr>
            </w:pPr>
            <w:r w:rsidRPr="002F229F">
              <w:t>114</w:t>
            </w:r>
          </w:p>
        </w:tc>
        <w:tc>
          <w:tcPr>
            <w:tcW w:w="530" w:type="pct"/>
            <w:tcBorders>
              <w:top w:val="single" w:sz="4" w:space="0" w:color="auto"/>
              <w:left w:val="nil"/>
              <w:bottom w:val="single" w:sz="4" w:space="0" w:color="auto"/>
              <w:right w:val="single" w:sz="4" w:space="0" w:color="auto"/>
            </w:tcBorders>
            <w:shd w:val="clear" w:color="auto" w:fill="auto"/>
            <w:vAlign w:val="bottom"/>
          </w:tcPr>
          <w:p w:rsidR="002F229F" w:rsidRPr="002F229F" w:rsidRDefault="002F229F" w:rsidP="002F229F">
            <w:pPr>
              <w:jc w:val="right"/>
            </w:pPr>
            <w:r w:rsidRPr="002F229F">
              <w:t>114</w:t>
            </w:r>
          </w:p>
        </w:tc>
        <w:tc>
          <w:tcPr>
            <w:tcW w:w="529" w:type="pct"/>
            <w:tcBorders>
              <w:top w:val="single" w:sz="4" w:space="0" w:color="auto"/>
              <w:left w:val="nil"/>
              <w:bottom w:val="single" w:sz="4" w:space="0" w:color="auto"/>
              <w:right w:val="single" w:sz="4" w:space="0" w:color="auto"/>
            </w:tcBorders>
            <w:shd w:val="clear" w:color="auto" w:fill="auto"/>
            <w:vAlign w:val="bottom"/>
          </w:tcPr>
          <w:p w:rsidR="002F229F" w:rsidRPr="002F229F" w:rsidRDefault="002F229F" w:rsidP="002F229F">
            <w:r w:rsidRPr="002F229F">
              <w:t> </w:t>
            </w:r>
          </w:p>
        </w:tc>
        <w:tc>
          <w:tcPr>
            <w:tcW w:w="537" w:type="pct"/>
            <w:tcBorders>
              <w:top w:val="single" w:sz="4" w:space="0" w:color="auto"/>
              <w:left w:val="nil"/>
              <w:bottom w:val="single" w:sz="4" w:space="0" w:color="auto"/>
              <w:right w:val="single" w:sz="4" w:space="0" w:color="auto"/>
            </w:tcBorders>
            <w:shd w:val="clear" w:color="auto" w:fill="auto"/>
            <w:vAlign w:val="bottom"/>
          </w:tcPr>
          <w:p w:rsidR="002F229F" w:rsidRPr="002F229F" w:rsidRDefault="002F229F" w:rsidP="002F229F">
            <w:r w:rsidRPr="002F229F">
              <w:t> </w:t>
            </w:r>
          </w:p>
        </w:tc>
        <w:tc>
          <w:tcPr>
            <w:tcW w:w="785" w:type="pct"/>
            <w:tcBorders>
              <w:top w:val="single" w:sz="4" w:space="0" w:color="auto"/>
              <w:left w:val="nil"/>
              <w:bottom w:val="single" w:sz="4" w:space="0" w:color="auto"/>
              <w:right w:val="double" w:sz="6" w:space="0" w:color="auto"/>
            </w:tcBorders>
            <w:shd w:val="clear" w:color="auto" w:fill="auto"/>
            <w:vAlign w:val="bottom"/>
          </w:tcPr>
          <w:p w:rsidR="002F229F" w:rsidRPr="002F229F" w:rsidRDefault="002F229F" w:rsidP="002F229F">
            <w:r w:rsidRPr="002F229F">
              <w:t> </w:t>
            </w:r>
          </w:p>
        </w:tc>
      </w:tr>
      <w:tr w:rsidR="002F229F" w:rsidRPr="009315FC" w:rsidTr="00591DBF">
        <w:trPr>
          <w:trHeight w:val="254"/>
        </w:trPr>
        <w:tc>
          <w:tcPr>
            <w:tcW w:w="1942" w:type="pct"/>
            <w:vAlign w:val="bottom"/>
          </w:tcPr>
          <w:p w:rsidR="002F229F" w:rsidRPr="009315FC" w:rsidRDefault="002F229F" w:rsidP="002F229F">
            <w:r w:rsidRPr="000B56DF">
              <w:t>МАЙКРО НАВ ЛИМИТЕД</w:t>
            </w:r>
          </w:p>
        </w:tc>
        <w:tc>
          <w:tcPr>
            <w:tcW w:w="677" w:type="pct"/>
            <w:tcBorders>
              <w:top w:val="nil"/>
              <w:left w:val="single" w:sz="4" w:space="0" w:color="auto"/>
              <w:bottom w:val="single" w:sz="4" w:space="0" w:color="auto"/>
              <w:right w:val="single" w:sz="4" w:space="0" w:color="auto"/>
            </w:tcBorders>
            <w:shd w:val="clear" w:color="auto" w:fill="auto"/>
            <w:vAlign w:val="bottom"/>
          </w:tcPr>
          <w:p w:rsidR="002F229F" w:rsidRPr="002F229F" w:rsidRDefault="002F229F" w:rsidP="002F229F">
            <w:pPr>
              <w:jc w:val="right"/>
            </w:pPr>
            <w:r w:rsidRPr="002F229F">
              <w:t>256</w:t>
            </w:r>
          </w:p>
        </w:tc>
        <w:tc>
          <w:tcPr>
            <w:tcW w:w="530" w:type="pct"/>
            <w:tcBorders>
              <w:top w:val="nil"/>
              <w:left w:val="nil"/>
              <w:bottom w:val="single" w:sz="4" w:space="0" w:color="auto"/>
              <w:right w:val="single" w:sz="4" w:space="0" w:color="auto"/>
            </w:tcBorders>
            <w:shd w:val="clear" w:color="auto" w:fill="auto"/>
            <w:vAlign w:val="bottom"/>
          </w:tcPr>
          <w:p w:rsidR="002F229F" w:rsidRPr="002F229F" w:rsidRDefault="002F229F" w:rsidP="002F229F">
            <w:pPr>
              <w:jc w:val="right"/>
            </w:pPr>
            <w:r w:rsidRPr="002F229F">
              <w:t>256</w:t>
            </w:r>
          </w:p>
        </w:tc>
        <w:tc>
          <w:tcPr>
            <w:tcW w:w="529" w:type="pct"/>
            <w:tcBorders>
              <w:top w:val="nil"/>
              <w:left w:val="nil"/>
              <w:bottom w:val="single" w:sz="4" w:space="0" w:color="auto"/>
              <w:right w:val="single" w:sz="4" w:space="0" w:color="auto"/>
            </w:tcBorders>
            <w:shd w:val="clear" w:color="auto" w:fill="auto"/>
            <w:vAlign w:val="bottom"/>
          </w:tcPr>
          <w:p w:rsidR="002F229F" w:rsidRPr="002F229F" w:rsidRDefault="002F229F" w:rsidP="002F229F">
            <w:r w:rsidRPr="002F229F">
              <w:t> </w:t>
            </w:r>
          </w:p>
        </w:tc>
        <w:tc>
          <w:tcPr>
            <w:tcW w:w="537" w:type="pct"/>
            <w:tcBorders>
              <w:top w:val="nil"/>
              <w:left w:val="nil"/>
              <w:bottom w:val="single" w:sz="4" w:space="0" w:color="auto"/>
              <w:right w:val="single" w:sz="4" w:space="0" w:color="auto"/>
            </w:tcBorders>
            <w:shd w:val="clear" w:color="auto" w:fill="auto"/>
            <w:vAlign w:val="bottom"/>
          </w:tcPr>
          <w:p w:rsidR="002F229F" w:rsidRPr="002F229F" w:rsidRDefault="002F229F" w:rsidP="002F229F">
            <w:r w:rsidRPr="002F229F">
              <w:t> </w:t>
            </w:r>
          </w:p>
        </w:tc>
        <w:tc>
          <w:tcPr>
            <w:tcW w:w="785" w:type="pct"/>
            <w:tcBorders>
              <w:top w:val="nil"/>
              <w:left w:val="nil"/>
              <w:bottom w:val="single" w:sz="4" w:space="0" w:color="auto"/>
              <w:right w:val="double" w:sz="6" w:space="0" w:color="auto"/>
            </w:tcBorders>
            <w:shd w:val="clear" w:color="auto" w:fill="auto"/>
            <w:vAlign w:val="bottom"/>
          </w:tcPr>
          <w:p w:rsidR="002F229F" w:rsidRPr="002F229F" w:rsidRDefault="002F229F" w:rsidP="002F229F">
            <w:r w:rsidRPr="002F229F">
              <w:t> </w:t>
            </w:r>
          </w:p>
        </w:tc>
      </w:tr>
      <w:tr w:rsidR="002F229F" w:rsidRPr="009315FC" w:rsidTr="00591DBF">
        <w:trPr>
          <w:trHeight w:val="254"/>
        </w:trPr>
        <w:tc>
          <w:tcPr>
            <w:tcW w:w="1942" w:type="pct"/>
            <w:vAlign w:val="bottom"/>
          </w:tcPr>
          <w:p w:rsidR="002F229F" w:rsidRPr="009315FC" w:rsidRDefault="002F229F" w:rsidP="002F229F">
            <w:r w:rsidRPr="009315FC">
              <w:t>ТАЛЕС ИТАЛИЯ СПА</w:t>
            </w:r>
          </w:p>
        </w:tc>
        <w:tc>
          <w:tcPr>
            <w:tcW w:w="677" w:type="pct"/>
            <w:tcBorders>
              <w:top w:val="nil"/>
              <w:left w:val="single" w:sz="4" w:space="0" w:color="auto"/>
              <w:bottom w:val="single" w:sz="4" w:space="0" w:color="auto"/>
              <w:right w:val="single" w:sz="4" w:space="0" w:color="auto"/>
            </w:tcBorders>
            <w:shd w:val="clear" w:color="auto" w:fill="auto"/>
            <w:vAlign w:val="bottom"/>
          </w:tcPr>
          <w:p w:rsidR="002F229F" w:rsidRPr="002F229F" w:rsidRDefault="002F229F" w:rsidP="002F229F">
            <w:pPr>
              <w:jc w:val="right"/>
            </w:pPr>
            <w:r w:rsidRPr="002F229F">
              <w:t>597</w:t>
            </w:r>
          </w:p>
        </w:tc>
        <w:tc>
          <w:tcPr>
            <w:tcW w:w="530" w:type="pct"/>
            <w:tcBorders>
              <w:top w:val="nil"/>
              <w:left w:val="nil"/>
              <w:bottom w:val="single" w:sz="4" w:space="0" w:color="auto"/>
              <w:right w:val="single" w:sz="4" w:space="0" w:color="auto"/>
            </w:tcBorders>
            <w:shd w:val="clear" w:color="auto" w:fill="auto"/>
            <w:vAlign w:val="bottom"/>
          </w:tcPr>
          <w:p w:rsidR="002F229F" w:rsidRPr="002F229F" w:rsidRDefault="002F229F" w:rsidP="002F229F">
            <w:r w:rsidRPr="002F229F">
              <w:t> </w:t>
            </w:r>
          </w:p>
        </w:tc>
        <w:tc>
          <w:tcPr>
            <w:tcW w:w="529" w:type="pct"/>
            <w:tcBorders>
              <w:top w:val="nil"/>
              <w:left w:val="nil"/>
              <w:bottom w:val="single" w:sz="4" w:space="0" w:color="auto"/>
              <w:right w:val="single" w:sz="4" w:space="0" w:color="auto"/>
            </w:tcBorders>
            <w:shd w:val="clear" w:color="auto" w:fill="auto"/>
            <w:vAlign w:val="bottom"/>
          </w:tcPr>
          <w:p w:rsidR="002F229F" w:rsidRPr="002F229F" w:rsidRDefault="002F229F" w:rsidP="002F229F">
            <w:r w:rsidRPr="002F229F">
              <w:t> </w:t>
            </w:r>
          </w:p>
        </w:tc>
        <w:tc>
          <w:tcPr>
            <w:tcW w:w="537" w:type="pct"/>
            <w:tcBorders>
              <w:top w:val="nil"/>
              <w:left w:val="nil"/>
              <w:bottom w:val="single" w:sz="4" w:space="0" w:color="auto"/>
              <w:right w:val="single" w:sz="4" w:space="0" w:color="auto"/>
            </w:tcBorders>
            <w:shd w:val="clear" w:color="auto" w:fill="auto"/>
            <w:vAlign w:val="bottom"/>
          </w:tcPr>
          <w:p w:rsidR="002F229F" w:rsidRPr="002F229F" w:rsidRDefault="002F229F" w:rsidP="002F229F">
            <w:pPr>
              <w:jc w:val="right"/>
            </w:pPr>
            <w:r w:rsidRPr="002F229F">
              <w:t>597</w:t>
            </w:r>
          </w:p>
        </w:tc>
        <w:tc>
          <w:tcPr>
            <w:tcW w:w="785" w:type="pct"/>
            <w:tcBorders>
              <w:top w:val="nil"/>
              <w:left w:val="nil"/>
              <w:bottom w:val="single" w:sz="4" w:space="0" w:color="auto"/>
              <w:right w:val="double" w:sz="6" w:space="0" w:color="auto"/>
            </w:tcBorders>
            <w:shd w:val="clear" w:color="auto" w:fill="auto"/>
            <w:vAlign w:val="bottom"/>
          </w:tcPr>
          <w:p w:rsidR="002F229F" w:rsidRPr="002F229F" w:rsidRDefault="002F229F" w:rsidP="002F229F">
            <w:r w:rsidRPr="002F229F">
              <w:t> </w:t>
            </w:r>
          </w:p>
        </w:tc>
      </w:tr>
      <w:tr w:rsidR="002F229F" w:rsidRPr="009315FC" w:rsidTr="00591DBF">
        <w:trPr>
          <w:trHeight w:val="254"/>
        </w:trPr>
        <w:tc>
          <w:tcPr>
            <w:tcW w:w="1942" w:type="pct"/>
            <w:vAlign w:val="bottom"/>
          </w:tcPr>
          <w:p w:rsidR="002F229F" w:rsidRPr="009315FC" w:rsidRDefault="002F229F" w:rsidP="002F229F">
            <w:r w:rsidRPr="009E2897">
              <w:t>НАВБЛУ</w:t>
            </w:r>
          </w:p>
        </w:tc>
        <w:tc>
          <w:tcPr>
            <w:tcW w:w="677" w:type="pct"/>
            <w:tcBorders>
              <w:top w:val="nil"/>
              <w:left w:val="single" w:sz="4" w:space="0" w:color="auto"/>
              <w:bottom w:val="single" w:sz="4" w:space="0" w:color="auto"/>
              <w:right w:val="single" w:sz="4" w:space="0" w:color="auto"/>
            </w:tcBorders>
            <w:shd w:val="clear" w:color="auto" w:fill="auto"/>
            <w:vAlign w:val="bottom"/>
          </w:tcPr>
          <w:p w:rsidR="002F229F" w:rsidRPr="002F229F" w:rsidRDefault="002F229F" w:rsidP="002F229F">
            <w:pPr>
              <w:jc w:val="right"/>
            </w:pPr>
            <w:r w:rsidRPr="002F229F">
              <w:t>741</w:t>
            </w:r>
          </w:p>
        </w:tc>
        <w:tc>
          <w:tcPr>
            <w:tcW w:w="530" w:type="pct"/>
            <w:tcBorders>
              <w:top w:val="nil"/>
              <w:left w:val="nil"/>
              <w:bottom w:val="single" w:sz="4" w:space="0" w:color="auto"/>
              <w:right w:val="single" w:sz="4" w:space="0" w:color="auto"/>
            </w:tcBorders>
            <w:shd w:val="clear" w:color="auto" w:fill="auto"/>
            <w:vAlign w:val="bottom"/>
          </w:tcPr>
          <w:p w:rsidR="002F229F" w:rsidRPr="002F229F" w:rsidRDefault="002F229F" w:rsidP="002F229F">
            <w:r w:rsidRPr="002F229F">
              <w:t> </w:t>
            </w:r>
          </w:p>
        </w:tc>
        <w:tc>
          <w:tcPr>
            <w:tcW w:w="529" w:type="pct"/>
            <w:tcBorders>
              <w:top w:val="nil"/>
              <w:left w:val="nil"/>
              <w:bottom w:val="single" w:sz="4" w:space="0" w:color="auto"/>
              <w:right w:val="single" w:sz="4" w:space="0" w:color="auto"/>
            </w:tcBorders>
            <w:shd w:val="clear" w:color="auto" w:fill="auto"/>
            <w:vAlign w:val="bottom"/>
          </w:tcPr>
          <w:p w:rsidR="002F229F" w:rsidRPr="002F229F" w:rsidRDefault="002F229F" w:rsidP="002F229F">
            <w:pPr>
              <w:jc w:val="right"/>
            </w:pPr>
            <w:r w:rsidRPr="002F229F">
              <w:t>741</w:t>
            </w:r>
          </w:p>
        </w:tc>
        <w:tc>
          <w:tcPr>
            <w:tcW w:w="537" w:type="pct"/>
            <w:tcBorders>
              <w:top w:val="nil"/>
              <w:left w:val="nil"/>
              <w:bottom w:val="single" w:sz="4" w:space="0" w:color="auto"/>
              <w:right w:val="single" w:sz="4" w:space="0" w:color="auto"/>
            </w:tcBorders>
            <w:shd w:val="clear" w:color="auto" w:fill="auto"/>
            <w:vAlign w:val="bottom"/>
          </w:tcPr>
          <w:p w:rsidR="002F229F" w:rsidRPr="002F229F" w:rsidRDefault="002F229F" w:rsidP="002F229F">
            <w:r w:rsidRPr="002F229F">
              <w:t> </w:t>
            </w:r>
          </w:p>
        </w:tc>
        <w:tc>
          <w:tcPr>
            <w:tcW w:w="785" w:type="pct"/>
            <w:tcBorders>
              <w:top w:val="nil"/>
              <w:left w:val="nil"/>
              <w:bottom w:val="single" w:sz="4" w:space="0" w:color="auto"/>
              <w:right w:val="double" w:sz="6" w:space="0" w:color="auto"/>
            </w:tcBorders>
            <w:shd w:val="clear" w:color="auto" w:fill="auto"/>
            <w:vAlign w:val="bottom"/>
          </w:tcPr>
          <w:p w:rsidR="002F229F" w:rsidRPr="002F229F" w:rsidRDefault="002F229F" w:rsidP="002F229F">
            <w:r w:rsidRPr="002F229F">
              <w:t> </w:t>
            </w:r>
          </w:p>
        </w:tc>
      </w:tr>
      <w:tr w:rsidR="002F229F" w:rsidRPr="009315FC" w:rsidTr="00591DBF">
        <w:trPr>
          <w:trHeight w:val="254"/>
        </w:trPr>
        <w:tc>
          <w:tcPr>
            <w:tcW w:w="1942" w:type="pct"/>
            <w:vAlign w:val="bottom"/>
          </w:tcPr>
          <w:p w:rsidR="002F229F" w:rsidRPr="009315FC" w:rsidRDefault="002F229F" w:rsidP="002F229F">
            <w:r w:rsidRPr="009315FC">
              <w:t>ЗАД. КЪМ ПЕРСОНАЛА</w:t>
            </w:r>
          </w:p>
        </w:tc>
        <w:tc>
          <w:tcPr>
            <w:tcW w:w="677" w:type="pct"/>
            <w:tcBorders>
              <w:top w:val="nil"/>
              <w:left w:val="single" w:sz="4" w:space="0" w:color="auto"/>
              <w:bottom w:val="single" w:sz="4" w:space="0" w:color="auto"/>
              <w:right w:val="single" w:sz="4" w:space="0" w:color="auto"/>
            </w:tcBorders>
            <w:shd w:val="clear" w:color="auto" w:fill="auto"/>
            <w:vAlign w:val="bottom"/>
          </w:tcPr>
          <w:p w:rsidR="002F229F" w:rsidRPr="002F229F" w:rsidRDefault="002F229F" w:rsidP="002F229F">
            <w:pPr>
              <w:jc w:val="right"/>
            </w:pPr>
            <w:r w:rsidRPr="002F229F">
              <w:t>13,547</w:t>
            </w:r>
          </w:p>
        </w:tc>
        <w:tc>
          <w:tcPr>
            <w:tcW w:w="530" w:type="pct"/>
            <w:tcBorders>
              <w:top w:val="nil"/>
              <w:left w:val="nil"/>
              <w:bottom w:val="single" w:sz="4" w:space="0" w:color="auto"/>
              <w:right w:val="single" w:sz="4" w:space="0" w:color="auto"/>
            </w:tcBorders>
            <w:shd w:val="clear" w:color="auto" w:fill="auto"/>
            <w:vAlign w:val="bottom"/>
          </w:tcPr>
          <w:p w:rsidR="002F229F" w:rsidRPr="002F229F" w:rsidRDefault="002F229F" w:rsidP="002F229F">
            <w:pPr>
              <w:jc w:val="right"/>
            </w:pPr>
            <w:r w:rsidRPr="002F229F">
              <w:t>13,547</w:t>
            </w:r>
          </w:p>
        </w:tc>
        <w:tc>
          <w:tcPr>
            <w:tcW w:w="529" w:type="pct"/>
            <w:tcBorders>
              <w:top w:val="nil"/>
              <w:left w:val="nil"/>
              <w:bottom w:val="single" w:sz="4" w:space="0" w:color="auto"/>
              <w:right w:val="single" w:sz="4" w:space="0" w:color="auto"/>
            </w:tcBorders>
            <w:shd w:val="clear" w:color="auto" w:fill="auto"/>
            <w:vAlign w:val="bottom"/>
          </w:tcPr>
          <w:p w:rsidR="002F229F" w:rsidRPr="002F229F" w:rsidRDefault="002F229F" w:rsidP="002F229F">
            <w:r w:rsidRPr="002F229F">
              <w:t> </w:t>
            </w:r>
          </w:p>
        </w:tc>
        <w:tc>
          <w:tcPr>
            <w:tcW w:w="537" w:type="pct"/>
            <w:tcBorders>
              <w:top w:val="nil"/>
              <w:left w:val="nil"/>
              <w:bottom w:val="single" w:sz="4" w:space="0" w:color="auto"/>
              <w:right w:val="single" w:sz="4" w:space="0" w:color="auto"/>
            </w:tcBorders>
            <w:shd w:val="clear" w:color="auto" w:fill="auto"/>
            <w:vAlign w:val="bottom"/>
          </w:tcPr>
          <w:p w:rsidR="002F229F" w:rsidRPr="002F229F" w:rsidRDefault="002F229F" w:rsidP="002F229F">
            <w:r w:rsidRPr="002F229F">
              <w:t> </w:t>
            </w:r>
          </w:p>
        </w:tc>
        <w:tc>
          <w:tcPr>
            <w:tcW w:w="785" w:type="pct"/>
            <w:tcBorders>
              <w:top w:val="nil"/>
              <w:left w:val="nil"/>
              <w:bottom w:val="single" w:sz="4" w:space="0" w:color="auto"/>
              <w:right w:val="double" w:sz="6" w:space="0" w:color="auto"/>
            </w:tcBorders>
            <w:shd w:val="clear" w:color="auto" w:fill="auto"/>
            <w:vAlign w:val="bottom"/>
          </w:tcPr>
          <w:p w:rsidR="002F229F" w:rsidRPr="002F229F" w:rsidRDefault="002F229F" w:rsidP="002F229F">
            <w:r w:rsidRPr="002F229F">
              <w:t> </w:t>
            </w:r>
          </w:p>
        </w:tc>
      </w:tr>
      <w:tr w:rsidR="002F229F" w:rsidRPr="009315FC" w:rsidTr="00591DBF">
        <w:trPr>
          <w:trHeight w:val="254"/>
        </w:trPr>
        <w:tc>
          <w:tcPr>
            <w:tcW w:w="1942" w:type="pct"/>
            <w:vAlign w:val="bottom"/>
          </w:tcPr>
          <w:p w:rsidR="002F229F" w:rsidRPr="009315FC" w:rsidRDefault="002F229F" w:rsidP="002F229F">
            <w:r w:rsidRPr="009315FC">
              <w:t>РАЗЧЕТИ С ОСИГУРИТЕЛНИ ФОНДОВЕ</w:t>
            </w:r>
          </w:p>
        </w:tc>
        <w:tc>
          <w:tcPr>
            <w:tcW w:w="677" w:type="pct"/>
            <w:tcBorders>
              <w:top w:val="nil"/>
              <w:left w:val="single" w:sz="4" w:space="0" w:color="auto"/>
              <w:bottom w:val="single" w:sz="4" w:space="0" w:color="auto"/>
              <w:right w:val="single" w:sz="4" w:space="0" w:color="auto"/>
            </w:tcBorders>
            <w:shd w:val="clear" w:color="auto" w:fill="auto"/>
            <w:vAlign w:val="bottom"/>
          </w:tcPr>
          <w:p w:rsidR="002F229F" w:rsidRPr="002F229F" w:rsidRDefault="002F229F" w:rsidP="002F229F">
            <w:pPr>
              <w:jc w:val="right"/>
            </w:pPr>
            <w:r w:rsidRPr="002F229F">
              <w:t>1,310</w:t>
            </w:r>
          </w:p>
        </w:tc>
        <w:tc>
          <w:tcPr>
            <w:tcW w:w="530" w:type="pct"/>
            <w:tcBorders>
              <w:top w:val="nil"/>
              <w:left w:val="nil"/>
              <w:bottom w:val="single" w:sz="4" w:space="0" w:color="auto"/>
              <w:right w:val="single" w:sz="4" w:space="0" w:color="auto"/>
            </w:tcBorders>
            <w:shd w:val="clear" w:color="auto" w:fill="auto"/>
            <w:vAlign w:val="bottom"/>
          </w:tcPr>
          <w:p w:rsidR="002F229F" w:rsidRPr="002F229F" w:rsidRDefault="002F229F" w:rsidP="002F229F">
            <w:pPr>
              <w:jc w:val="right"/>
            </w:pPr>
            <w:r w:rsidRPr="002F229F">
              <w:t>1,310</w:t>
            </w:r>
          </w:p>
        </w:tc>
        <w:tc>
          <w:tcPr>
            <w:tcW w:w="529" w:type="pct"/>
            <w:tcBorders>
              <w:top w:val="nil"/>
              <w:left w:val="nil"/>
              <w:bottom w:val="single" w:sz="4" w:space="0" w:color="auto"/>
              <w:right w:val="single" w:sz="4" w:space="0" w:color="auto"/>
            </w:tcBorders>
            <w:shd w:val="clear" w:color="000000" w:fill="FFFFFF"/>
            <w:vAlign w:val="bottom"/>
          </w:tcPr>
          <w:p w:rsidR="002F229F" w:rsidRPr="002F229F" w:rsidRDefault="002F229F" w:rsidP="002F229F">
            <w:r w:rsidRPr="002F229F">
              <w:t> </w:t>
            </w:r>
          </w:p>
        </w:tc>
        <w:tc>
          <w:tcPr>
            <w:tcW w:w="537" w:type="pct"/>
            <w:tcBorders>
              <w:top w:val="nil"/>
              <w:left w:val="nil"/>
              <w:bottom w:val="single" w:sz="4" w:space="0" w:color="auto"/>
              <w:right w:val="single" w:sz="4" w:space="0" w:color="auto"/>
            </w:tcBorders>
            <w:shd w:val="clear" w:color="000000" w:fill="FFFFFF"/>
            <w:vAlign w:val="bottom"/>
          </w:tcPr>
          <w:p w:rsidR="002F229F" w:rsidRPr="002F229F" w:rsidRDefault="002F229F" w:rsidP="002F229F">
            <w:r w:rsidRPr="002F229F">
              <w:t> </w:t>
            </w:r>
          </w:p>
        </w:tc>
        <w:tc>
          <w:tcPr>
            <w:tcW w:w="785" w:type="pct"/>
            <w:tcBorders>
              <w:top w:val="nil"/>
              <w:left w:val="nil"/>
              <w:bottom w:val="single" w:sz="4" w:space="0" w:color="auto"/>
              <w:right w:val="double" w:sz="6" w:space="0" w:color="auto"/>
            </w:tcBorders>
            <w:shd w:val="clear" w:color="000000" w:fill="FFFFFF"/>
            <w:vAlign w:val="bottom"/>
          </w:tcPr>
          <w:p w:rsidR="002F229F" w:rsidRPr="002F229F" w:rsidRDefault="002F229F" w:rsidP="002F229F">
            <w:r w:rsidRPr="002F229F">
              <w:t> </w:t>
            </w:r>
          </w:p>
        </w:tc>
      </w:tr>
      <w:tr w:rsidR="002F229F" w:rsidRPr="009315FC" w:rsidTr="00591DBF">
        <w:trPr>
          <w:trHeight w:val="254"/>
        </w:trPr>
        <w:tc>
          <w:tcPr>
            <w:tcW w:w="1942" w:type="pct"/>
            <w:vAlign w:val="bottom"/>
          </w:tcPr>
          <w:p w:rsidR="002F229F" w:rsidRPr="009315FC" w:rsidRDefault="002F229F" w:rsidP="002F229F">
            <w:r w:rsidRPr="009315FC">
              <w:t>ЗАДЪЛЖЕНИЯ КЪМ БЮДЖЕТА</w:t>
            </w:r>
          </w:p>
        </w:tc>
        <w:tc>
          <w:tcPr>
            <w:tcW w:w="677" w:type="pct"/>
            <w:tcBorders>
              <w:top w:val="nil"/>
              <w:left w:val="single" w:sz="4" w:space="0" w:color="auto"/>
              <w:bottom w:val="single" w:sz="4" w:space="0" w:color="auto"/>
              <w:right w:val="single" w:sz="4" w:space="0" w:color="auto"/>
            </w:tcBorders>
            <w:shd w:val="clear" w:color="auto" w:fill="auto"/>
            <w:vAlign w:val="bottom"/>
          </w:tcPr>
          <w:p w:rsidR="002F229F" w:rsidRPr="002F229F" w:rsidRDefault="002F229F" w:rsidP="002F229F">
            <w:pPr>
              <w:jc w:val="right"/>
            </w:pPr>
            <w:r w:rsidRPr="002F229F">
              <w:t>5,829</w:t>
            </w:r>
          </w:p>
        </w:tc>
        <w:tc>
          <w:tcPr>
            <w:tcW w:w="530" w:type="pct"/>
            <w:tcBorders>
              <w:top w:val="nil"/>
              <w:left w:val="nil"/>
              <w:bottom w:val="nil"/>
              <w:right w:val="single" w:sz="4" w:space="0" w:color="auto"/>
            </w:tcBorders>
            <w:shd w:val="clear" w:color="auto" w:fill="auto"/>
            <w:vAlign w:val="bottom"/>
          </w:tcPr>
          <w:p w:rsidR="002F229F" w:rsidRPr="002F229F" w:rsidRDefault="002F229F" w:rsidP="002F229F">
            <w:pPr>
              <w:jc w:val="right"/>
            </w:pPr>
            <w:r w:rsidRPr="002F229F">
              <w:t>5,829</w:t>
            </w:r>
          </w:p>
        </w:tc>
        <w:tc>
          <w:tcPr>
            <w:tcW w:w="529" w:type="pct"/>
            <w:tcBorders>
              <w:top w:val="nil"/>
              <w:left w:val="nil"/>
              <w:bottom w:val="nil"/>
              <w:right w:val="single" w:sz="4" w:space="0" w:color="auto"/>
            </w:tcBorders>
            <w:shd w:val="clear" w:color="000000" w:fill="FFFFFF"/>
            <w:vAlign w:val="bottom"/>
          </w:tcPr>
          <w:p w:rsidR="002F229F" w:rsidRPr="002F229F" w:rsidRDefault="002F229F" w:rsidP="002F229F">
            <w:r w:rsidRPr="002F229F">
              <w:t> </w:t>
            </w:r>
          </w:p>
        </w:tc>
        <w:tc>
          <w:tcPr>
            <w:tcW w:w="537" w:type="pct"/>
            <w:tcBorders>
              <w:top w:val="nil"/>
              <w:left w:val="nil"/>
              <w:bottom w:val="nil"/>
              <w:right w:val="single" w:sz="4" w:space="0" w:color="auto"/>
            </w:tcBorders>
            <w:shd w:val="clear" w:color="000000" w:fill="FFFFFF"/>
            <w:vAlign w:val="bottom"/>
          </w:tcPr>
          <w:p w:rsidR="002F229F" w:rsidRPr="002F229F" w:rsidRDefault="002F229F" w:rsidP="002F229F">
            <w:r w:rsidRPr="002F229F">
              <w:t> </w:t>
            </w:r>
          </w:p>
        </w:tc>
        <w:tc>
          <w:tcPr>
            <w:tcW w:w="785" w:type="pct"/>
            <w:tcBorders>
              <w:top w:val="nil"/>
              <w:left w:val="nil"/>
              <w:bottom w:val="single" w:sz="4" w:space="0" w:color="auto"/>
              <w:right w:val="double" w:sz="6" w:space="0" w:color="auto"/>
            </w:tcBorders>
            <w:shd w:val="clear" w:color="000000" w:fill="FFFFFF"/>
            <w:vAlign w:val="bottom"/>
          </w:tcPr>
          <w:p w:rsidR="002F229F" w:rsidRPr="002F229F" w:rsidRDefault="002F229F" w:rsidP="002F229F">
            <w:r w:rsidRPr="002F229F">
              <w:t> </w:t>
            </w:r>
          </w:p>
        </w:tc>
      </w:tr>
      <w:tr w:rsidR="002F229F" w:rsidRPr="00954096" w:rsidTr="00591DBF">
        <w:trPr>
          <w:trHeight w:val="254"/>
        </w:trPr>
        <w:tc>
          <w:tcPr>
            <w:tcW w:w="1942" w:type="pct"/>
            <w:tcBorders>
              <w:bottom w:val="double" w:sz="6" w:space="0" w:color="auto"/>
            </w:tcBorders>
            <w:vAlign w:val="center"/>
          </w:tcPr>
          <w:p w:rsidR="002F229F" w:rsidRPr="009315FC" w:rsidRDefault="002F229F" w:rsidP="002F229F">
            <w:r w:rsidRPr="009315FC">
              <w:rPr>
                <w:b/>
                <w:bCs/>
              </w:rPr>
              <w:t>Обща сума</w:t>
            </w:r>
          </w:p>
        </w:tc>
        <w:tc>
          <w:tcPr>
            <w:tcW w:w="677" w:type="pct"/>
            <w:tcBorders>
              <w:top w:val="nil"/>
              <w:left w:val="single" w:sz="4" w:space="0" w:color="auto"/>
              <w:bottom w:val="double" w:sz="6" w:space="0" w:color="auto"/>
              <w:right w:val="single" w:sz="4" w:space="0" w:color="auto"/>
            </w:tcBorders>
            <w:shd w:val="clear" w:color="auto" w:fill="auto"/>
            <w:vAlign w:val="bottom"/>
          </w:tcPr>
          <w:p w:rsidR="002F229F" w:rsidRPr="002F229F" w:rsidRDefault="002F229F" w:rsidP="002F229F">
            <w:pPr>
              <w:jc w:val="right"/>
              <w:rPr>
                <w:b/>
                <w:bCs/>
              </w:rPr>
            </w:pPr>
            <w:r w:rsidRPr="002F229F">
              <w:rPr>
                <w:b/>
                <w:bCs/>
              </w:rPr>
              <w:t>22,394</w:t>
            </w:r>
          </w:p>
        </w:tc>
        <w:tc>
          <w:tcPr>
            <w:tcW w:w="530" w:type="pct"/>
            <w:tcBorders>
              <w:top w:val="single" w:sz="4" w:space="0" w:color="auto"/>
              <w:left w:val="nil"/>
              <w:bottom w:val="double" w:sz="6" w:space="0" w:color="auto"/>
              <w:right w:val="single" w:sz="4" w:space="0" w:color="auto"/>
            </w:tcBorders>
            <w:shd w:val="clear" w:color="auto" w:fill="auto"/>
            <w:vAlign w:val="bottom"/>
          </w:tcPr>
          <w:p w:rsidR="002F229F" w:rsidRPr="002F229F" w:rsidRDefault="002F229F" w:rsidP="002F229F">
            <w:pPr>
              <w:jc w:val="right"/>
              <w:rPr>
                <w:b/>
                <w:bCs/>
              </w:rPr>
            </w:pPr>
            <w:r w:rsidRPr="002F229F">
              <w:rPr>
                <w:b/>
                <w:bCs/>
              </w:rPr>
              <w:t>21,056</w:t>
            </w:r>
          </w:p>
        </w:tc>
        <w:tc>
          <w:tcPr>
            <w:tcW w:w="529" w:type="pct"/>
            <w:tcBorders>
              <w:top w:val="single" w:sz="4" w:space="0" w:color="auto"/>
              <w:left w:val="nil"/>
              <w:bottom w:val="double" w:sz="6" w:space="0" w:color="auto"/>
              <w:right w:val="single" w:sz="4" w:space="0" w:color="auto"/>
            </w:tcBorders>
            <w:shd w:val="clear" w:color="auto" w:fill="auto"/>
            <w:vAlign w:val="bottom"/>
          </w:tcPr>
          <w:p w:rsidR="002F229F" w:rsidRPr="002F229F" w:rsidRDefault="002F229F" w:rsidP="002F229F">
            <w:pPr>
              <w:jc w:val="right"/>
              <w:rPr>
                <w:b/>
                <w:bCs/>
              </w:rPr>
            </w:pPr>
            <w:r w:rsidRPr="002F229F">
              <w:rPr>
                <w:b/>
                <w:bCs/>
              </w:rPr>
              <w:t xml:space="preserve"> 741</w:t>
            </w:r>
          </w:p>
        </w:tc>
        <w:tc>
          <w:tcPr>
            <w:tcW w:w="537" w:type="pct"/>
            <w:tcBorders>
              <w:top w:val="single" w:sz="4" w:space="0" w:color="auto"/>
              <w:left w:val="nil"/>
              <w:bottom w:val="double" w:sz="6" w:space="0" w:color="auto"/>
              <w:right w:val="single" w:sz="4" w:space="0" w:color="auto"/>
            </w:tcBorders>
            <w:shd w:val="clear" w:color="auto" w:fill="auto"/>
            <w:vAlign w:val="bottom"/>
          </w:tcPr>
          <w:p w:rsidR="002F229F" w:rsidRPr="002F229F" w:rsidRDefault="002F229F" w:rsidP="002F229F">
            <w:pPr>
              <w:jc w:val="right"/>
              <w:rPr>
                <w:b/>
                <w:bCs/>
              </w:rPr>
            </w:pPr>
            <w:r w:rsidRPr="002F229F">
              <w:rPr>
                <w:b/>
                <w:bCs/>
              </w:rPr>
              <w:t>597</w:t>
            </w:r>
          </w:p>
        </w:tc>
        <w:tc>
          <w:tcPr>
            <w:tcW w:w="785" w:type="pct"/>
            <w:tcBorders>
              <w:top w:val="nil"/>
              <w:left w:val="nil"/>
              <w:bottom w:val="double" w:sz="6" w:space="0" w:color="auto"/>
              <w:right w:val="double" w:sz="6" w:space="0" w:color="auto"/>
            </w:tcBorders>
            <w:shd w:val="clear" w:color="auto" w:fill="auto"/>
            <w:vAlign w:val="bottom"/>
          </w:tcPr>
          <w:p w:rsidR="002F229F" w:rsidRPr="002F229F" w:rsidRDefault="002F229F" w:rsidP="002F229F">
            <w:pPr>
              <w:rPr>
                <w:b/>
                <w:bCs/>
              </w:rPr>
            </w:pPr>
            <w:r w:rsidRPr="002F229F">
              <w:rPr>
                <w:b/>
                <w:bCs/>
              </w:rPr>
              <w:t xml:space="preserve">                   -      </w:t>
            </w:r>
          </w:p>
        </w:tc>
      </w:tr>
    </w:tbl>
    <w:p w:rsidR="00E56C9A" w:rsidRPr="00954096" w:rsidRDefault="00E56C9A" w:rsidP="00313A9D">
      <w:pPr>
        <w:ind w:firstLine="708"/>
        <w:jc w:val="both"/>
        <w:rPr>
          <w:color w:val="FF0000"/>
        </w:rPr>
      </w:pPr>
    </w:p>
    <w:p w:rsidR="00C43567" w:rsidRPr="002A3EAD" w:rsidRDefault="005B3108" w:rsidP="00313A9D">
      <w:pPr>
        <w:ind w:firstLine="708"/>
        <w:jc w:val="both"/>
      </w:pPr>
      <w:r w:rsidRPr="002A3EAD">
        <w:t xml:space="preserve">Краткосрочните задължения на ДП </w:t>
      </w:r>
      <w:r w:rsidR="00762CBD" w:rsidRPr="002A3EAD">
        <w:t>РВД</w:t>
      </w:r>
      <w:r w:rsidRPr="002A3EAD">
        <w:t xml:space="preserve"> са начислени текущи задължения към доставчици, персонала и бюджета. </w:t>
      </w:r>
      <w:r w:rsidR="0064110E" w:rsidRPr="002A3EAD">
        <w:t>Задълженията към доставчиците се погасяват в съответствие с договорените условия.</w:t>
      </w:r>
    </w:p>
    <w:p w:rsidR="00E56C9A" w:rsidRPr="002A3EAD" w:rsidRDefault="00E56C9A" w:rsidP="00313A9D">
      <w:pPr>
        <w:ind w:firstLine="708"/>
        <w:jc w:val="both"/>
      </w:pPr>
    </w:p>
    <w:tbl>
      <w:tblPr>
        <w:tblW w:w="10217" w:type="dxa"/>
        <w:jc w:val="center"/>
        <w:tblBorders>
          <w:top w:val="double" w:sz="6" w:space="0" w:color="auto"/>
          <w:left w:val="double" w:sz="6" w:space="0" w:color="auto"/>
          <w:bottom w:val="double" w:sz="6" w:space="0" w:color="auto"/>
          <w:right w:val="double" w:sz="6" w:space="0" w:color="auto"/>
        </w:tblBorders>
        <w:tblLayout w:type="fixed"/>
        <w:tblCellMar>
          <w:left w:w="30" w:type="dxa"/>
          <w:right w:w="30" w:type="dxa"/>
        </w:tblCellMar>
        <w:tblLook w:val="0000" w:firstRow="0" w:lastRow="0" w:firstColumn="0" w:lastColumn="0" w:noHBand="0" w:noVBand="0"/>
      </w:tblPr>
      <w:tblGrid>
        <w:gridCol w:w="7470"/>
        <w:gridCol w:w="2747"/>
      </w:tblGrid>
      <w:tr w:rsidR="005B3108" w:rsidRPr="002A3EAD" w:rsidTr="00371C96">
        <w:trPr>
          <w:trHeight w:val="316"/>
          <w:jc w:val="center"/>
        </w:trPr>
        <w:tc>
          <w:tcPr>
            <w:tcW w:w="7470" w:type="dxa"/>
            <w:tcBorders>
              <w:top w:val="double" w:sz="6" w:space="0" w:color="auto"/>
              <w:bottom w:val="single" w:sz="4" w:space="0" w:color="auto"/>
            </w:tcBorders>
            <w:shd w:val="solid" w:color="C0C0C0" w:fill="auto"/>
          </w:tcPr>
          <w:p w:rsidR="005B3108" w:rsidRPr="002A3EAD" w:rsidRDefault="005B3108" w:rsidP="0049372C">
            <w:pPr>
              <w:pStyle w:val="Heading8"/>
              <w:rPr>
                <w:rFonts w:ascii="Times New Roman" w:hAnsi="Times New Roman"/>
                <w:lang w:val="ru-RU"/>
              </w:rPr>
            </w:pPr>
            <w:r w:rsidRPr="002A3EAD">
              <w:rPr>
                <w:rFonts w:ascii="Times New Roman" w:hAnsi="Times New Roman"/>
                <w:lang w:val="ru-RU"/>
              </w:rPr>
              <w:t>ОТЧЕТ ЗА ПАРИЧНИТЕ ПОТОЦИ - текуща година</w:t>
            </w:r>
            <w:r w:rsidR="002C1A42" w:rsidRPr="002A3EAD">
              <w:rPr>
                <w:rFonts w:ascii="Times New Roman" w:hAnsi="Times New Roman"/>
                <w:lang w:val="ru-RU"/>
              </w:rPr>
              <w:t xml:space="preserve"> (хил.лв.)</w:t>
            </w:r>
          </w:p>
        </w:tc>
        <w:tc>
          <w:tcPr>
            <w:tcW w:w="2747" w:type="dxa"/>
            <w:tcBorders>
              <w:top w:val="double" w:sz="6" w:space="0" w:color="auto"/>
              <w:bottom w:val="single" w:sz="4" w:space="0" w:color="auto"/>
            </w:tcBorders>
          </w:tcPr>
          <w:p w:rsidR="008C33A6" w:rsidRPr="001C5DC8" w:rsidRDefault="000847E3" w:rsidP="00E167AD">
            <w:pPr>
              <w:pStyle w:val="Heading9"/>
              <w:rPr>
                <w:rFonts w:ascii="Times New Roman" w:hAnsi="Times New Roman"/>
                <w:lang w:val="bg-BG"/>
              </w:rPr>
            </w:pPr>
            <w:r>
              <w:rPr>
                <w:rFonts w:ascii="Times New Roman" w:hAnsi="Times New Roman"/>
                <w:lang w:val="bg-BG"/>
              </w:rPr>
              <w:t>СЕПТЕМВРИ</w:t>
            </w:r>
          </w:p>
        </w:tc>
      </w:tr>
      <w:tr w:rsidR="009D5EA6" w:rsidRPr="00760226" w:rsidTr="00371C96">
        <w:trPr>
          <w:trHeight w:val="316"/>
          <w:jc w:val="center"/>
        </w:trPr>
        <w:tc>
          <w:tcPr>
            <w:tcW w:w="7470" w:type="dxa"/>
            <w:tcBorders>
              <w:top w:val="single" w:sz="4" w:space="0" w:color="auto"/>
              <w:left w:val="double" w:sz="6" w:space="0" w:color="auto"/>
              <w:bottom w:val="single" w:sz="4" w:space="0" w:color="auto"/>
              <w:right w:val="single" w:sz="4" w:space="0" w:color="auto"/>
            </w:tcBorders>
          </w:tcPr>
          <w:p w:rsidR="009D5EA6" w:rsidRPr="00760226" w:rsidRDefault="009D5EA6" w:rsidP="0049372C">
            <w:pPr>
              <w:rPr>
                <w:snapToGrid w:val="0"/>
                <w:color w:val="000000"/>
                <w:lang w:val="ru-RU" w:eastAsia="en-US"/>
              </w:rPr>
            </w:pPr>
            <w:r w:rsidRPr="00760226">
              <w:rPr>
                <w:snapToGrid w:val="0"/>
                <w:color w:val="000000"/>
                <w:lang w:val="ru-RU" w:eastAsia="en-US"/>
              </w:rPr>
              <w:t>А. Парични потоци от основна дейност</w:t>
            </w:r>
          </w:p>
        </w:tc>
        <w:tc>
          <w:tcPr>
            <w:tcW w:w="2747" w:type="dxa"/>
            <w:tcBorders>
              <w:top w:val="single" w:sz="4" w:space="0" w:color="auto"/>
              <w:left w:val="single" w:sz="4" w:space="0" w:color="auto"/>
              <w:bottom w:val="single" w:sz="4" w:space="0" w:color="auto"/>
              <w:right w:val="double" w:sz="6" w:space="0" w:color="auto"/>
            </w:tcBorders>
            <w:vAlign w:val="bottom"/>
          </w:tcPr>
          <w:p w:rsidR="009D5EA6" w:rsidRPr="00AC0B10" w:rsidRDefault="009D5EA6">
            <w:pPr>
              <w:jc w:val="right"/>
            </w:pPr>
          </w:p>
        </w:tc>
      </w:tr>
      <w:tr w:rsidR="002F229F" w:rsidRPr="00760226" w:rsidTr="002F229F">
        <w:trPr>
          <w:trHeight w:val="260"/>
          <w:jc w:val="center"/>
        </w:trPr>
        <w:tc>
          <w:tcPr>
            <w:tcW w:w="7470" w:type="dxa"/>
            <w:tcBorders>
              <w:top w:val="single" w:sz="4" w:space="0" w:color="auto"/>
              <w:left w:val="double" w:sz="6" w:space="0" w:color="auto"/>
              <w:bottom w:val="single" w:sz="4" w:space="0" w:color="auto"/>
              <w:right w:val="single" w:sz="4" w:space="0" w:color="auto"/>
            </w:tcBorders>
          </w:tcPr>
          <w:p w:rsidR="002F229F" w:rsidRPr="00760226" w:rsidRDefault="002F229F" w:rsidP="002F229F">
            <w:pPr>
              <w:rPr>
                <w:snapToGrid w:val="0"/>
                <w:color w:val="000000"/>
                <w:lang w:val="ru-RU" w:eastAsia="en-US"/>
              </w:rPr>
            </w:pPr>
            <w:r w:rsidRPr="00760226">
              <w:rPr>
                <w:snapToGrid w:val="0"/>
                <w:color w:val="000000"/>
                <w:lang w:val="ru-RU" w:eastAsia="en-US"/>
              </w:rPr>
              <w:t>Нетен паричен поток от основна дейност (А)</w:t>
            </w:r>
          </w:p>
        </w:tc>
        <w:tc>
          <w:tcPr>
            <w:tcW w:w="2747" w:type="dxa"/>
            <w:tcBorders>
              <w:top w:val="single" w:sz="4" w:space="0" w:color="auto"/>
              <w:left w:val="single" w:sz="4" w:space="0" w:color="auto"/>
              <w:bottom w:val="single" w:sz="4" w:space="0" w:color="auto"/>
              <w:right w:val="double" w:sz="6" w:space="0" w:color="auto"/>
            </w:tcBorders>
            <w:shd w:val="clear" w:color="auto" w:fill="auto"/>
            <w:vAlign w:val="bottom"/>
          </w:tcPr>
          <w:p w:rsidR="002F229F" w:rsidRPr="002F229F" w:rsidRDefault="002F229F" w:rsidP="002F229F">
            <w:pPr>
              <w:jc w:val="right"/>
              <w:rPr>
                <w:lang w:eastAsia="bg-BG"/>
              </w:rPr>
            </w:pPr>
            <w:r w:rsidRPr="002F229F">
              <w:t>20,901</w:t>
            </w:r>
          </w:p>
        </w:tc>
      </w:tr>
      <w:tr w:rsidR="002F229F" w:rsidRPr="00760226" w:rsidTr="002F229F">
        <w:trPr>
          <w:trHeight w:val="246"/>
          <w:jc w:val="center"/>
        </w:trPr>
        <w:tc>
          <w:tcPr>
            <w:tcW w:w="7470" w:type="dxa"/>
            <w:tcBorders>
              <w:top w:val="single" w:sz="4" w:space="0" w:color="auto"/>
              <w:left w:val="double" w:sz="6" w:space="0" w:color="auto"/>
              <w:bottom w:val="single" w:sz="4" w:space="0" w:color="auto"/>
              <w:right w:val="single" w:sz="4" w:space="0" w:color="auto"/>
            </w:tcBorders>
          </w:tcPr>
          <w:p w:rsidR="002F229F" w:rsidRPr="00760226" w:rsidRDefault="002F229F" w:rsidP="002F229F">
            <w:pPr>
              <w:rPr>
                <w:snapToGrid w:val="0"/>
                <w:color w:val="000000"/>
                <w:lang w:val="ru-RU" w:eastAsia="en-US"/>
              </w:rPr>
            </w:pPr>
            <w:r w:rsidRPr="00760226">
              <w:rPr>
                <w:snapToGrid w:val="0"/>
                <w:color w:val="000000"/>
                <w:lang w:val="ru-RU" w:eastAsia="en-US"/>
              </w:rPr>
              <w:t>Б. Парични потоци от инвестиционна дейност</w:t>
            </w:r>
          </w:p>
        </w:tc>
        <w:tc>
          <w:tcPr>
            <w:tcW w:w="2747" w:type="dxa"/>
            <w:tcBorders>
              <w:top w:val="single" w:sz="4" w:space="0" w:color="auto"/>
              <w:left w:val="single" w:sz="4" w:space="0" w:color="auto"/>
              <w:bottom w:val="single" w:sz="4" w:space="0" w:color="auto"/>
              <w:right w:val="double" w:sz="6" w:space="0" w:color="auto"/>
            </w:tcBorders>
            <w:shd w:val="clear" w:color="auto" w:fill="auto"/>
            <w:vAlign w:val="bottom"/>
          </w:tcPr>
          <w:p w:rsidR="002F229F" w:rsidRPr="002F229F" w:rsidRDefault="002F229F" w:rsidP="002F229F">
            <w:r w:rsidRPr="002F229F">
              <w:t> </w:t>
            </w:r>
          </w:p>
        </w:tc>
      </w:tr>
      <w:tr w:rsidR="002F229F" w:rsidRPr="00760226" w:rsidTr="002F229F">
        <w:trPr>
          <w:trHeight w:val="246"/>
          <w:jc w:val="center"/>
        </w:trPr>
        <w:tc>
          <w:tcPr>
            <w:tcW w:w="7470" w:type="dxa"/>
            <w:tcBorders>
              <w:top w:val="single" w:sz="4" w:space="0" w:color="auto"/>
              <w:left w:val="double" w:sz="6" w:space="0" w:color="auto"/>
              <w:bottom w:val="single" w:sz="4" w:space="0" w:color="auto"/>
              <w:right w:val="single" w:sz="4" w:space="0" w:color="auto"/>
            </w:tcBorders>
          </w:tcPr>
          <w:p w:rsidR="002F229F" w:rsidRPr="00760226" w:rsidRDefault="002F229F" w:rsidP="002F229F">
            <w:pPr>
              <w:rPr>
                <w:snapToGrid w:val="0"/>
                <w:color w:val="000000"/>
                <w:lang w:val="ru-RU" w:eastAsia="en-US"/>
              </w:rPr>
            </w:pPr>
            <w:r w:rsidRPr="00760226">
              <w:rPr>
                <w:snapToGrid w:val="0"/>
                <w:color w:val="000000"/>
                <w:lang w:val="ru-RU" w:eastAsia="en-US"/>
              </w:rPr>
              <w:t>Нетен паричен поток от инвестиционна дейност (Б)</w:t>
            </w:r>
          </w:p>
        </w:tc>
        <w:tc>
          <w:tcPr>
            <w:tcW w:w="2747" w:type="dxa"/>
            <w:tcBorders>
              <w:top w:val="single" w:sz="4" w:space="0" w:color="auto"/>
              <w:left w:val="single" w:sz="4" w:space="0" w:color="auto"/>
              <w:bottom w:val="single" w:sz="4" w:space="0" w:color="auto"/>
              <w:right w:val="double" w:sz="6" w:space="0" w:color="auto"/>
            </w:tcBorders>
            <w:shd w:val="clear" w:color="auto" w:fill="auto"/>
            <w:vAlign w:val="bottom"/>
          </w:tcPr>
          <w:p w:rsidR="002F229F" w:rsidRPr="002F229F" w:rsidRDefault="002F229F" w:rsidP="002F229F">
            <w:pPr>
              <w:jc w:val="right"/>
            </w:pPr>
            <w:r w:rsidRPr="002F229F">
              <w:t>-12,874</w:t>
            </w:r>
          </w:p>
        </w:tc>
      </w:tr>
      <w:tr w:rsidR="002F229F" w:rsidRPr="00760226" w:rsidTr="002F229F">
        <w:trPr>
          <w:trHeight w:val="246"/>
          <w:jc w:val="center"/>
        </w:trPr>
        <w:tc>
          <w:tcPr>
            <w:tcW w:w="7470" w:type="dxa"/>
            <w:tcBorders>
              <w:top w:val="single" w:sz="4" w:space="0" w:color="auto"/>
              <w:left w:val="double" w:sz="6" w:space="0" w:color="auto"/>
              <w:bottom w:val="single" w:sz="4" w:space="0" w:color="auto"/>
              <w:right w:val="single" w:sz="4" w:space="0" w:color="auto"/>
            </w:tcBorders>
          </w:tcPr>
          <w:p w:rsidR="002F229F" w:rsidRPr="00760226" w:rsidRDefault="002F229F" w:rsidP="002F229F">
            <w:pPr>
              <w:rPr>
                <w:snapToGrid w:val="0"/>
                <w:color w:val="000000"/>
                <w:lang w:val="ru-RU" w:eastAsia="en-US"/>
              </w:rPr>
            </w:pPr>
            <w:r w:rsidRPr="00760226">
              <w:rPr>
                <w:snapToGrid w:val="0"/>
                <w:color w:val="000000"/>
                <w:lang w:val="ru-RU" w:eastAsia="en-US"/>
              </w:rPr>
              <w:t>В. Парични потоци от финансова дейност</w:t>
            </w:r>
          </w:p>
        </w:tc>
        <w:tc>
          <w:tcPr>
            <w:tcW w:w="2747" w:type="dxa"/>
            <w:tcBorders>
              <w:top w:val="single" w:sz="4" w:space="0" w:color="auto"/>
              <w:left w:val="single" w:sz="4" w:space="0" w:color="auto"/>
              <w:bottom w:val="single" w:sz="4" w:space="0" w:color="auto"/>
              <w:right w:val="double" w:sz="6" w:space="0" w:color="auto"/>
            </w:tcBorders>
            <w:shd w:val="clear" w:color="auto" w:fill="auto"/>
            <w:vAlign w:val="bottom"/>
          </w:tcPr>
          <w:p w:rsidR="002F229F" w:rsidRPr="002F229F" w:rsidRDefault="002F229F" w:rsidP="002F229F">
            <w:r w:rsidRPr="002F229F">
              <w:t> </w:t>
            </w:r>
          </w:p>
        </w:tc>
      </w:tr>
      <w:tr w:rsidR="002F229F" w:rsidRPr="00760226" w:rsidTr="002F229F">
        <w:trPr>
          <w:trHeight w:val="246"/>
          <w:jc w:val="center"/>
        </w:trPr>
        <w:tc>
          <w:tcPr>
            <w:tcW w:w="7470" w:type="dxa"/>
            <w:tcBorders>
              <w:top w:val="single" w:sz="4" w:space="0" w:color="auto"/>
              <w:left w:val="double" w:sz="6" w:space="0" w:color="auto"/>
              <w:bottom w:val="single" w:sz="4" w:space="0" w:color="auto"/>
              <w:right w:val="single" w:sz="4" w:space="0" w:color="auto"/>
            </w:tcBorders>
          </w:tcPr>
          <w:p w:rsidR="002F229F" w:rsidRPr="00760226" w:rsidRDefault="002F229F" w:rsidP="002F229F">
            <w:pPr>
              <w:rPr>
                <w:snapToGrid w:val="0"/>
                <w:color w:val="000000"/>
                <w:lang w:val="ru-RU" w:eastAsia="en-US"/>
              </w:rPr>
            </w:pPr>
            <w:r w:rsidRPr="00760226">
              <w:rPr>
                <w:snapToGrid w:val="0"/>
                <w:color w:val="000000"/>
                <w:lang w:val="ru-RU" w:eastAsia="en-US"/>
              </w:rPr>
              <w:t>Нетен паричен поток от финансова дейност (В)</w:t>
            </w:r>
          </w:p>
        </w:tc>
        <w:tc>
          <w:tcPr>
            <w:tcW w:w="2747" w:type="dxa"/>
            <w:tcBorders>
              <w:top w:val="single" w:sz="4" w:space="0" w:color="auto"/>
              <w:left w:val="single" w:sz="4" w:space="0" w:color="auto"/>
              <w:bottom w:val="single" w:sz="4" w:space="0" w:color="auto"/>
              <w:right w:val="double" w:sz="6" w:space="0" w:color="auto"/>
            </w:tcBorders>
            <w:shd w:val="clear" w:color="auto" w:fill="auto"/>
            <w:vAlign w:val="bottom"/>
          </w:tcPr>
          <w:p w:rsidR="002F229F" w:rsidRPr="002F229F" w:rsidRDefault="002F229F" w:rsidP="002F229F">
            <w:pPr>
              <w:jc w:val="right"/>
            </w:pPr>
            <w:r w:rsidRPr="002F229F">
              <w:t>-13,873</w:t>
            </w:r>
          </w:p>
        </w:tc>
      </w:tr>
      <w:tr w:rsidR="002F229F" w:rsidRPr="00760226" w:rsidTr="002F229F">
        <w:trPr>
          <w:trHeight w:val="246"/>
          <w:jc w:val="center"/>
        </w:trPr>
        <w:tc>
          <w:tcPr>
            <w:tcW w:w="7470" w:type="dxa"/>
            <w:tcBorders>
              <w:top w:val="single" w:sz="4" w:space="0" w:color="auto"/>
              <w:left w:val="double" w:sz="6" w:space="0" w:color="auto"/>
              <w:bottom w:val="single" w:sz="4" w:space="0" w:color="auto"/>
              <w:right w:val="single" w:sz="4" w:space="0" w:color="auto"/>
            </w:tcBorders>
          </w:tcPr>
          <w:p w:rsidR="002F229F" w:rsidRPr="00760226" w:rsidRDefault="002F229F" w:rsidP="002F229F">
            <w:pPr>
              <w:rPr>
                <w:snapToGrid w:val="0"/>
                <w:color w:val="000000"/>
                <w:lang w:val="ru-RU" w:eastAsia="en-US"/>
              </w:rPr>
            </w:pPr>
            <w:r w:rsidRPr="00760226">
              <w:rPr>
                <w:snapToGrid w:val="0"/>
                <w:color w:val="000000"/>
                <w:lang w:val="ru-RU" w:eastAsia="en-US"/>
              </w:rPr>
              <w:t>Г. Изменение на паричните средства през периода (А + Б + В)</w:t>
            </w:r>
          </w:p>
        </w:tc>
        <w:tc>
          <w:tcPr>
            <w:tcW w:w="2747" w:type="dxa"/>
            <w:tcBorders>
              <w:top w:val="single" w:sz="4" w:space="0" w:color="auto"/>
              <w:left w:val="single" w:sz="4" w:space="0" w:color="auto"/>
              <w:bottom w:val="single" w:sz="4" w:space="0" w:color="auto"/>
              <w:right w:val="double" w:sz="6" w:space="0" w:color="auto"/>
            </w:tcBorders>
            <w:shd w:val="clear" w:color="auto" w:fill="auto"/>
            <w:vAlign w:val="bottom"/>
          </w:tcPr>
          <w:p w:rsidR="002F229F" w:rsidRPr="002F229F" w:rsidRDefault="002F229F" w:rsidP="002F229F">
            <w:pPr>
              <w:jc w:val="right"/>
            </w:pPr>
            <w:r w:rsidRPr="002F229F">
              <w:t>-5,846</w:t>
            </w:r>
          </w:p>
        </w:tc>
      </w:tr>
      <w:tr w:rsidR="002F229F" w:rsidRPr="00760226" w:rsidTr="002F229F">
        <w:trPr>
          <w:trHeight w:val="246"/>
          <w:jc w:val="center"/>
        </w:trPr>
        <w:tc>
          <w:tcPr>
            <w:tcW w:w="7470" w:type="dxa"/>
            <w:tcBorders>
              <w:top w:val="single" w:sz="4" w:space="0" w:color="auto"/>
              <w:left w:val="double" w:sz="6" w:space="0" w:color="auto"/>
              <w:bottom w:val="single" w:sz="4" w:space="0" w:color="auto"/>
              <w:right w:val="single" w:sz="4" w:space="0" w:color="auto"/>
            </w:tcBorders>
          </w:tcPr>
          <w:p w:rsidR="002F229F" w:rsidRPr="00760226" w:rsidRDefault="002F229F" w:rsidP="002F229F">
            <w:pPr>
              <w:rPr>
                <w:snapToGrid w:val="0"/>
                <w:color w:val="000000"/>
                <w:lang w:val="ru-RU" w:eastAsia="en-US"/>
              </w:rPr>
            </w:pPr>
            <w:r w:rsidRPr="00760226">
              <w:rPr>
                <w:snapToGrid w:val="0"/>
                <w:color w:val="000000"/>
                <w:lang w:val="ru-RU" w:eastAsia="en-US"/>
              </w:rPr>
              <w:t>Д. Парични средства в началото на периода</w:t>
            </w:r>
          </w:p>
        </w:tc>
        <w:tc>
          <w:tcPr>
            <w:tcW w:w="2747" w:type="dxa"/>
            <w:tcBorders>
              <w:top w:val="single" w:sz="4" w:space="0" w:color="auto"/>
              <w:left w:val="single" w:sz="4" w:space="0" w:color="auto"/>
              <w:bottom w:val="single" w:sz="4" w:space="0" w:color="auto"/>
              <w:right w:val="double" w:sz="6" w:space="0" w:color="auto"/>
            </w:tcBorders>
            <w:shd w:val="clear" w:color="000000" w:fill="FFFFFF"/>
            <w:vAlign w:val="bottom"/>
          </w:tcPr>
          <w:p w:rsidR="002F229F" w:rsidRPr="002F229F" w:rsidRDefault="002F229F" w:rsidP="002F229F">
            <w:pPr>
              <w:jc w:val="right"/>
            </w:pPr>
            <w:r w:rsidRPr="002F229F">
              <w:t>149,437</w:t>
            </w:r>
          </w:p>
        </w:tc>
      </w:tr>
      <w:tr w:rsidR="002F229F" w:rsidRPr="00760226" w:rsidTr="002F229F">
        <w:trPr>
          <w:trHeight w:val="246"/>
          <w:jc w:val="center"/>
        </w:trPr>
        <w:tc>
          <w:tcPr>
            <w:tcW w:w="7470" w:type="dxa"/>
            <w:tcBorders>
              <w:top w:val="single" w:sz="4" w:space="0" w:color="auto"/>
              <w:left w:val="double" w:sz="6" w:space="0" w:color="auto"/>
              <w:bottom w:val="double" w:sz="6" w:space="0" w:color="auto"/>
              <w:right w:val="single" w:sz="4" w:space="0" w:color="auto"/>
            </w:tcBorders>
          </w:tcPr>
          <w:p w:rsidR="002F229F" w:rsidRPr="00760226" w:rsidRDefault="002F229F" w:rsidP="002F229F">
            <w:pPr>
              <w:rPr>
                <w:snapToGrid w:val="0"/>
                <w:color w:val="000000"/>
                <w:lang w:val="ru-RU" w:eastAsia="en-US"/>
              </w:rPr>
            </w:pPr>
            <w:r w:rsidRPr="00760226">
              <w:rPr>
                <w:snapToGrid w:val="0"/>
                <w:color w:val="000000"/>
                <w:lang w:val="ru-RU" w:eastAsia="en-US"/>
              </w:rPr>
              <w:t>Е. Парични средства в края на периода</w:t>
            </w:r>
          </w:p>
        </w:tc>
        <w:tc>
          <w:tcPr>
            <w:tcW w:w="2747" w:type="dxa"/>
            <w:tcBorders>
              <w:top w:val="single" w:sz="4" w:space="0" w:color="auto"/>
              <w:left w:val="single" w:sz="4" w:space="0" w:color="auto"/>
              <w:bottom w:val="double" w:sz="6" w:space="0" w:color="auto"/>
              <w:right w:val="double" w:sz="6" w:space="0" w:color="auto"/>
            </w:tcBorders>
            <w:shd w:val="clear" w:color="auto" w:fill="auto"/>
            <w:vAlign w:val="bottom"/>
          </w:tcPr>
          <w:p w:rsidR="002F229F" w:rsidRPr="002F229F" w:rsidRDefault="002F229F" w:rsidP="002F229F">
            <w:pPr>
              <w:jc w:val="right"/>
            </w:pPr>
            <w:r w:rsidRPr="002F229F">
              <w:t>143,591</w:t>
            </w:r>
          </w:p>
        </w:tc>
      </w:tr>
    </w:tbl>
    <w:p w:rsidR="00C37EBA" w:rsidRPr="002A3EAD" w:rsidRDefault="00C37EBA" w:rsidP="0049372C">
      <w:pPr>
        <w:ind w:firstLine="708"/>
        <w:jc w:val="both"/>
      </w:pPr>
    </w:p>
    <w:p w:rsidR="00042FA5" w:rsidRPr="002A3EAD" w:rsidRDefault="005B3108" w:rsidP="0049372C">
      <w:pPr>
        <w:ind w:firstLine="708"/>
        <w:jc w:val="both"/>
        <w:rPr>
          <w:lang w:val="en-US"/>
        </w:rPr>
      </w:pPr>
      <w:r w:rsidRPr="002A3EAD">
        <w:t>Паричните потоци са представени в стандартната форма и са диференцирани според дейностите, от които произхождат.</w:t>
      </w:r>
    </w:p>
    <w:p w:rsidR="00923725" w:rsidRPr="002A3EAD" w:rsidRDefault="00345022" w:rsidP="0049372C">
      <w:pPr>
        <w:ind w:firstLine="708"/>
        <w:jc w:val="both"/>
        <w:rPr>
          <w:lang w:val="en-US"/>
        </w:rPr>
      </w:pPr>
      <w:r w:rsidRPr="002A3EAD">
        <w:t>Паричните с</w:t>
      </w:r>
      <w:r w:rsidR="0017038E" w:rsidRPr="002A3EAD">
        <w:t>редст</w:t>
      </w:r>
      <w:r w:rsidR="002B1694" w:rsidRPr="002A3EAD">
        <w:t xml:space="preserve">ва към </w:t>
      </w:r>
      <w:r w:rsidR="00FF6D4E">
        <w:t>30.09</w:t>
      </w:r>
      <w:r w:rsidR="00B4036C">
        <w:t>.</w:t>
      </w:r>
      <w:r w:rsidR="00C81811" w:rsidRPr="002A3EAD">
        <w:t>201</w:t>
      </w:r>
      <w:r w:rsidR="00AD019E">
        <w:t>8</w:t>
      </w:r>
      <w:r w:rsidR="00923725" w:rsidRPr="002A3EAD">
        <w:t xml:space="preserve"> г. включват сроч</w:t>
      </w:r>
      <w:r w:rsidR="00A5684F" w:rsidRPr="002A3EAD">
        <w:t>ен депозит в БНБ в размер на 11</w:t>
      </w:r>
      <w:r w:rsidR="00ED34C6" w:rsidRPr="002A3EAD">
        <w:t xml:space="preserve"> млн. </w:t>
      </w:r>
      <w:r w:rsidR="003C3E33">
        <w:t>евро (21.</w:t>
      </w:r>
      <w:r w:rsidR="00A5684F" w:rsidRPr="002A3EAD">
        <w:t>5</w:t>
      </w:r>
      <w:r w:rsidR="00ED34C6" w:rsidRPr="002A3EAD">
        <w:t xml:space="preserve"> млн. </w:t>
      </w:r>
      <w:r w:rsidR="00923725" w:rsidRPr="002A3EAD">
        <w:t>лв</w:t>
      </w:r>
      <w:r w:rsidR="00ED34C6" w:rsidRPr="002A3EAD">
        <w:t>.</w:t>
      </w:r>
      <w:r w:rsidR="00923725" w:rsidRPr="002A3EAD">
        <w:t xml:space="preserve">), </w:t>
      </w:r>
      <w:r w:rsidR="00ED34C6" w:rsidRPr="002A3EAD">
        <w:t xml:space="preserve">съгласно </w:t>
      </w:r>
      <w:r w:rsidR="00923725" w:rsidRPr="002A3EAD">
        <w:t>Наредба № 1</w:t>
      </w:r>
      <w:r w:rsidR="00251E3A" w:rsidRPr="002A3EAD">
        <w:t>4</w:t>
      </w:r>
      <w:r w:rsidR="00923725" w:rsidRPr="002A3EAD">
        <w:t>0 на Министерство на транспорта и Министерство на финансите за под</w:t>
      </w:r>
      <w:r w:rsidR="00613AC8" w:rsidRPr="002A3EAD">
        <w:t>д</w:t>
      </w:r>
      <w:r w:rsidR="00923725" w:rsidRPr="002A3EAD">
        <w:t>ържане на парич</w:t>
      </w:r>
      <w:r w:rsidR="00D05E09" w:rsidRPr="002A3EAD">
        <w:t>е</w:t>
      </w:r>
      <w:r w:rsidR="00923725" w:rsidRPr="002A3EAD">
        <w:t>н резерв на предприятието. Средствата по разплащателните сметки на предприятието се</w:t>
      </w:r>
      <w:r w:rsidR="00D05E09" w:rsidRPr="002A3EAD">
        <w:t xml:space="preserve"> използват за </w:t>
      </w:r>
      <w:r w:rsidR="00923725" w:rsidRPr="002A3EAD">
        <w:t>разплащания</w:t>
      </w:r>
      <w:r w:rsidR="00D05E09" w:rsidRPr="002A3EAD">
        <w:t xml:space="preserve"> на оперативните и капиталовите разходи във връзка с дейността на ДП РВД</w:t>
      </w:r>
      <w:r w:rsidR="001738F8" w:rsidRPr="002A3EAD">
        <w:t>.</w:t>
      </w:r>
    </w:p>
    <w:p w:rsidR="003F2551" w:rsidRPr="002A3EAD" w:rsidRDefault="00D05E09" w:rsidP="00D05E09">
      <w:pPr>
        <w:pStyle w:val="BodyText"/>
        <w:ind w:firstLine="720"/>
        <w:rPr>
          <w:rFonts w:ascii="Times New Roman" w:hAnsi="Times New Roman"/>
          <w:sz w:val="24"/>
        </w:rPr>
      </w:pPr>
      <w:r w:rsidRPr="002A3EAD">
        <w:rPr>
          <w:rFonts w:ascii="Times New Roman" w:hAnsi="Times New Roman"/>
          <w:i w:val="0"/>
          <w:sz w:val="24"/>
        </w:rPr>
        <w:t xml:space="preserve">Съгласно </w:t>
      </w:r>
      <w:r w:rsidR="003F2551" w:rsidRPr="002A3EAD">
        <w:rPr>
          <w:rFonts w:ascii="Times New Roman" w:hAnsi="Times New Roman"/>
          <w:i w:val="0"/>
          <w:sz w:val="24"/>
        </w:rPr>
        <w:t>изискванията на регламентите по инициативат</w:t>
      </w:r>
      <w:r w:rsidR="004F03D4" w:rsidRPr="002A3EAD">
        <w:rPr>
          <w:rFonts w:ascii="Times New Roman" w:hAnsi="Times New Roman"/>
          <w:i w:val="0"/>
          <w:sz w:val="24"/>
        </w:rPr>
        <w:t>а Единно европейско небе</w:t>
      </w:r>
      <w:r w:rsidRPr="002A3EAD">
        <w:rPr>
          <w:rFonts w:ascii="Times New Roman" w:hAnsi="Times New Roman"/>
          <w:i w:val="0"/>
          <w:sz w:val="24"/>
        </w:rPr>
        <w:t xml:space="preserve"> (ЕЕН)</w:t>
      </w:r>
      <w:r w:rsidR="00ED34C6" w:rsidRPr="002A3EAD">
        <w:rPr>
          <w:rFonts w:ascii="Times New Roman" w:hAnsi="Times New Roman"/>
          <w:i w:val="0"/>
          <w:sz w:val="24"/>
        </w:rPr>
        <w:t>,</w:t>
      </w:r>
      <w:r w:rsidR="00BA7CA8" w:rsidRPr="002A3EAD">
        <w:rPr>
          <w:rFonts w:ascii="Times New Roman" w:hAnsi="Times New Roman"/>
          <w:i w:val="0"/>
          <w:sz w:val="24"/>
        </w:rPr>
        <w:t xml:space="preserve"> своевременно </w:t>
      </w:r>
      <w:r w:rsidR="00ED34C6" w:rsidRPr="002A3EAD">
        <w:rPr>
          <w:rFonts w:ascii="Times New Roman" w:hAnsi="Times New Roman"/>
          <w:i w:val="0"/>
          <w:sz w:val="24"/>
        </w:rPr>
        <w:t>са</w:t>
      </w:r>
      <w:r w:rsidR="003F2551" w:rsidRPr="002A3EAD">
        <w:rPr>
          <w:rFonts w:ascii="Times New Roman" w:hAnsi="Times New Roman"/>
          <w:i w:val="0"/>
          <w:sz w:val="24"/>
        </w:rPr>
        <w:t xml:space="preserve"> предприети мерки за повишаване на ефективността и капацитета на органите за ОВД при предоставяне на</w:t>
      </w:r>
      <w:r w:rsidRPr="002A3EAD">
        <w:rPr>
          <w:rFonts w:ascii="Times New Roman" w:hAnsi="Times New Roman"/>
          <w:i w:val="0"/>
          <w:sz w:val="24"/>
          <w:lang w:val="en-US"/>
        </w:rPr>
        <w:t xml:space="preserve"> </w:t>
      </w:r>
      <w:r w:rsidRPr="002A3EAD">
        <w:rPr>
          <w:rFonts w:ascii="Times New Roman" w:hAnsi="Times New Roman"/>
          <w:i w:val="0"/>
          <w:sz w:val="24"/>
        </w:rPr>
        <w:t>АНО</w:t>
      </w:r>
      <w:r w:rsidR="003F2551" w:rsidRPr="002A3EAD">
        <w:rPr>
          <w:rFonts w:ascii="Times New Roman" w:hAnsi="Times New Roman"/>
          <w:i w:val="0"/>
          <w:sz w:val="24"/>
        </w:rPr>
        <w:t xml:space="preserve">. </w:t>
      </w:r>
      <w:r w:rsidRPr="002A3EAD">
        <w:rPr>
          <w:rFonts w:ascii="Times New Roman" w:hAnsi="Times New Roman"/>
          <w:i w:val="0"/>
          <w:sz w:val="24"/>
        </w:rPr>
        <w:t>Чрез с</w:t>
      </w:r>
      <w:r w:rsidR="003F2551" w:rsidRPr="002A3EAD">
        <w:rPr>
          <w:rFonts w:ascii="Times New Roman" w:hAnsi="Times New Roman"/>
          <w:i w:val="0"/>
          <w:sz w:val="24"/>
        </w:rPr>
        <w:t>хемата за ефективност</w:t>
      </w:r>
      <w:r w:rsidRPr="002A3EAD">
        <w:rPr>
          <w:rFonts w:ascii="Times New Roman" w:hAnsi="Times New Roman"/>
          <w:i w:val="0"/>
          <w:sz w:val="24"/>
        </w:rPr>
        <w:t xml:space="preserve"> с</w:t>
      </w:r>
      <w:r w:rsidR="00ED34C6" w:rsidRPr="002A3EAD">
        <w:rPr>
          <w:rFonts w:ascii="Times New Roman" w:hAnsi="Times New Roman"/>
          <w:i w:val="0"/>
          <w:sz w:val="24"/>
        </w:rPr>
        <w:t xml:space="preserve">а въведени </w:t>
      </w:r>
      <w:r w:rsidR="003F2551" w:rsidRPr="002A3EAD">
        <w:rPr>
          <w:rFonts w:ascii="Times New Roman" w:hAnsi="Times New Roman"/>
          <w:i w:val="0"/>
          <w:sz w:val="24"/>
        </w:rPr>
        <w:t xml:space="preserve">показатели в 4 </w:t>
      </w:r>
      <w:r w:rsidRPr="002A3EAD">
        <w:rPr>
          <w:rFonts w:ascii="Times New Roman" w:hAnsi="Times New Roman"/>
          <w:i w:val="0"/>
          <w:sz w:val="24"/>
        </w:rPr>
        <w:t>ключови области на дейността (Безопасност</w:t>
      </w:r>
      <w:r w:rsidRPr="002A3EAD">
        <w:rPr>
          <w:rFonts w:ascii="Times New Roman" w:hAnsi="Times New Roman"/>
          <w:i w:val="0"/>
          <w:sz w:val="24"/>
          <w:lang w:val="en-US"/>
        </w:rPr>
        <w:t>,</w:t>
      </w:r>
      <w:r w:rsidRPr="002A3EAD">
        <w:rPr>
          <w:rFonts w:ascii="Times New Roman" w:hAnsi="Times New Roman"/>
          <w:i w:val="0"/>
          <w:sz w:val="24"/>
        </w:rPr>
        <w:t xml:space="preserve"> Капацитет, Околна среда и Разходна ефективност)</w:t>
      </w:r>
      <w:r w:rsidR="00372739" w:rsidRPr="002A3EAD">
        <w:rPr>
          <w:rFonts w:ascii="Times New Roman" w:hAnsi="Times New Roman"/>
          <w:i w:val="0"/>
          <w:sz w:val="24"/>
        </w:rPr>
        <w:t>,</w:t>
      </w:r>
      <w:r w:rsidRPr="002A3EAD">
        <w:rPr>
          <w:rFonts w:ascii="Times New Roman" w:hAnsi="Times New Roman"/>
          <w:i w:val="0"/>
          <w:sz w:val="24"/>
        </w:rPr>
        <w:t xml:space="preserve"> </w:t>
      </w:r>
      <w:r w:rsidR="003F2551" w:rsidRPr="002A3EAD">
        <w:rPr>
          <w:rFonts w:ascii="Times New Roman" w:hAnsi="Times New Roman"/>
          <w:i w:val="0"/>
          <w:sz w:val="24"/>
        </w:rPr>
        <w:t>по които се о</w:t>
      </w:r>
      <w:r w:rsidR="00927077" w:rsidRPr="002A3EAD">
        <w:rPr>
          <w:rFonts w:ascii="Times New Roman" w:hAnsi="Times New Roman"/>
          <w:i w:val="0"/>
          <w:sz w:val="24"/>
        </w:rPr>
        <w:t>ценява</w:t>
      </w:r>
      <w:r w:rsidR="00ED34C6" w:rsidRPr="002A3EAD">
        <w:rPr>
          <w:rFonts w:ascii="Times New Roman" w:hAnsi="Times New Roman"/>
          <w:i w:val="0"/>
          <w:sz w:val="24"/>
        </w:rPr>
        <w:t>т</w:t>
      </w:r>
      <w:r w:rsidR="00927077" w:rsidRPr="002A3EAD">
        <w:rPr>
          <w:rFonts w:ascii="Times New Roman" w:hAnsi="Times New Roman"/>
          <w:i w:val="0"/>
          <w:sz w:val="24"/>
        </w:rPr>
        <w:t xml:space="preserve"> </w:t>
      </w:r>
      <w:r w:rsidR="003F2551" w:rsidRPr="002A3EAD">
        <w:rPr>
          <w:rFonts w:ascii="Times New Roman" w:hAnsi="Times New Roman"/>
          <w:i w:val="0"/>
          <w:sz w:val="24"/>
        </w:rPr>
        <w:t>ДАНО в страните</w:t>
      </w:r>
      <w:r w:rsidRPr="002A3EAD">
        <w:rPr>
          <w:rFonts w:ascii="Times New Roman" w:hAnsi="Times New Roman"/>
          <w:i w:val="0"/>
          <w:sz w:val="24"/>
        </w:rPr>
        <w:t>-</w:t>
      </w:r>
      <w:r w:rsidR="003F2551" w:rsidRPr="002A3EAD">
        <w:rPr>
          <w:rFonts w:ascii="Times New Roman" w:hAnsi="Times New Roman"/>
          <w:i w:val="0"/>
          <w:sz w:val="24"/>
        </w:rPr>
        <w:t xml:space="preserve">членки на ЕС, както и тези, подписали и ратифицирали споразумение за присъединяване към инициативата </w:t>
      </w:r>
      <w:r w:rsidRPr="002A3EAD">
        <w:rPr>
          <w:rFonts w:ascii="Times New Roman" w:hAnsi="Times New Roman"/>
          <w:i w:val="0"/>
          <w:sz w:val="24"/>
        </w:rPr>
        <w:t>ЕЕН</w:t>
      </w:r>
      <w:r w:rsidR="004F03D4" w:rsidRPr="002A3EAD">
        <w:rPr>
          <w:rFonts w:ascii="Times New Roman" w:hAnsi="Times New Roman"/>
          <w:i w:val="0"/>
          <w:sz w:val="24"/>
        </w:rPr>
        <w:t>.</w:t>
      </w:r>
    </w:p>
    <w:p w:rsidR="00DB66FB" w:rsidRDefault="00ED34C6" w:rsidP="007C553E">
      <w:pPr>
        <w:pStyle w:val="BodyText"/>
        <w:ind w:firstLine="720"/>
        <w:rPr>
          <w:rFonts w:ascii="Times New Roman" w:hAnsi="Times New Roman"/>
          <w:i w:val="0"/>
          <w:sz w:val="24"/>
        </w:rPr>
      </w:pPr>
      <w:r w:rsidRPr="002A3EAD">
        <w:rPr>
          <w:rFonts w:ascii="Times New Roman" w:hAnsi="Times New Roman"/>
          <w:i w:val="0"/>
          <w:sz w:val="24"/>
        </w:rPr>
        <w:t xml:space="preserve">За повишаване на ефективността и капацитета в </w:t>
      </w:r>
      <w:r w:rsidR="008225FD">
        <w:rPr>
          <w:rFonts w:ascii="Times New Roman" w:hAnsi="Times New Roman"/>
          <w:i w:val="0"/>
          <w:sz w:val="24"/>
        </w:rPr>
        <w:t xml:space="preserve">ревизирания </w:t>
      </w:r>
      <w:r w:rsidRPr="002A3EAD">
        <w:rPr>
          <w:rFonts w:ascii="Times New Roman" w:hAnsi="Times New Roman"/>
          <w:i w:val="0"/>
          <w:sz w:val="24"/>
        </w:rPr>
        <w:t>П</w:t>
      </w:r>
      <w:r w:rsidR="003F2551" w:rsidRPr="002A3EAD">
        <w:rPr>
          <w:rFonts w:ascii="Times New Roman" w:hAnsi="Times New Roman"/>
          <w:i w:val="0"/>
          <w:sz w:val="24"/>
        </w:rPr>
        <w:t xml:space="preserve">лан за ефективност за </w:t>
      </w:r>
      <w:r w:rsidR="00A5684F" w:rsidRPr="002A3EAD">
        <w:rPr>
          <w:rFonts w:ascii="Times New Roman" w:hAnsi="Times New Roman"/>
          <w:i w:val="0"/>
          <w:sz w:val="24"/>
        </w:rPr>
        <w:t>В</w:t>
      </w:r>
      <w:r w:rsidR="00D740B8" w:rsidRPr="002A3EAD">
        <w:rPr>
          <w:rFonts w:ascii="Times New Roman" w:hAnsi="Times New Roman"/>
          <w:i w:val="0"/>
          <w:sz w:val="24"/>
        </w:rPr>
        <w:t>тори референтен период (2015-19</w:t>
      </w:r>
      <w:r w:rsidR="004F03D4" w:rsidRPr="002A3EAD">
        <w:rPr>
          <w:rFonts w:ascii="Times New Roman" w:hAnsi="Times New Roman"/>
          <w:i w:val="0"/>
          <w:sz w:val="24"/>
        </w:rPr>
        <w:t xml:space="preserve"> г.</w:t>
      </w:r>
      <w:r w:rsidR="003F2551" w:rsidRPr="002A3EAD">
        <w:rPr>
          <w:rFonts w:ascii="Times New Roman" w:hAnsi="Times New Roman"/>
          <w:i w:val="0"/>
          <w:sz w:val="24"/>
        </w:rPr>
        <w:t>)</w:t>
      </w:r>
      <w:r w:rsidRPr="002A3EAD">
        <w:rPr>
          <w:rFonts w:ascii="Times New Roman" w:hAnsi="Times New Roman"/>
          <w:i w:val="0"/>
          <w:sz w:val="24"/>
        </w:rPr>
        <w:t xml:space="preserve"> са предвидени значителни инвестиции, които са </w:t>
      </w:r>
      <w:r w:rsidR="003F2551" w:rsidRPr="002A3EAD">
        <w:rPr>
          <w:rFonts w:ascii="Times New Roman" w:hAnsi="Times New Roman"/>
          <w:i w:val="0"/>
          <w:sz w:val="24"/>
        </w:rPr>
        <w:t xml:space="preserve">неразделна част от </w:t>
      </w:r>
      <w:r w:rsidRPr="002A3EAD">
        <w:rPr>
          <w:rFonts w:ascii="Times New Roman" w:hAnsi="Times New Roman"/>
          <w:i w:val="0"/>
          <w:sz w:val="24"/>
        </w:rPr>
        <w:t xml:space="preserve">процеса по формиране на </w:t>
      </w:r>
      <w:r w:rsidR="003F2551" w:rsidRPr="002A3EAD">
        <w:rPr>
          <w:rFonts w:ascii="Times New Roman" w:hAnsi="Times New Roman"/>
          <w:i w:val="0"/>
          <w:sz w:val="24"/>
        </w:rPr>
        <w:t>таксовата единица през съответния референтен период.</w:t>
      </w:r>
      <w:r w:rsidRPr="002A3EAD">
        <w:rPr>
          <w:rFonts w:ascii="Times New Roman" w:hAnsi="Times New Roman"/>
          <w:i w:val="0"/>
          <w:sz w:val="24"/>
        </w:rPr>
        <w:t xml:space="preserve"> </w:t>
      </w:r>
      <w:r w:rsidR="003F2551" w:rsidRPr="002A3EAD">
        <w:rPr>
          <w:rFonts w:ascii="Times New Roman" w:hAnsi="Times New Roman"/>
          <w:i w:val="0"/>
          <w:sz w:val="24"/>
        </w:rPr>
        <w:t xml:space="preserve">Основните инвестиционни проекти </w:t>
      </w:r>
      <w:r w:rsidR="00D740B8" w:rsidRPr="002A3EAD">
        <w:rPr>
          <w:rFonts w:ascii="Times New Roman" w:hAnsi="Times New Roman"/>
          <w:i w:val="0"/>
          <w:sz w:val="24"/>
        </w:rPr>
        <w:t>периода 2015 – 2019</w:t>
      </w:r>
      <w:r w:rsidR="00FF3C59" w:rsidRPr="002A3EAD">
        <w:rPr>
          <w:rFonts w:ascii="Times New Roman" w:hAnsi="Times New Roman"/>
          <w:i w:val="0"/>
          <w:sz w:val="24"/>
        </w:rPr>
        <w:t xml:space="preserve"> г. </w:t>
      </w:r>
      <w:r w:rsidR="003F2551" w:rsidRPr="002A3EAD">
        <w:rPr>
          <w:rFonts w:ascii="Times New Roman" w:hAnsi="Times New Roman"/>
          <w:i w:val="0"/>
          <w:sz w:val="24"/>
        </w:rPr>
        <w:t>на ДП РВД са</w:t>
      </w:r>
      <w:r w:rsidR="00243638" w:rsidRPr="002A3EAD">
        <w:rPr>
          <w:rFonts w:ascii="Times New Roman" w:hAnsi="Times New Roman"/>
          <w:i w:val="0"/>
          <w:sz w:val="24"/>
        </w:rPr>
        <w:t>,</w:t>
      </w:r>
      <w:r w:rsidR="003F2551" w:rsidRPr="002A3EAD">
        <w:rPr>
          <w:rFonts w:ascii="Times New Roman" w:hAnsi="Times New Roman"/>
          <w:i w:val="0"/>
          <w:sz w:val="24"/>
        </w:rPr>
        <w:t xml:space="preserve"> както следва:</w:t>
      </w:r>
    </w:p>
    <w:p w:rsidR="00D075E2" w:rsidRDefault="00D075E2" w:rsidP="00FF4508">
      <w:pPr>
        <w:pStyle w:val="BodyText"/>
        <w:rPr>
          <w:rFonts w:ascii="Times New Roman" w:hAnsi="Times New Roman"/>
          <w:i w:val="0"/>
          <w:sz w:val="24"/>
        </w:rPr>
      </w:pPr>
    </w:p>
    <w:p w:rsidR="002F23D0" w:rsidRPr="002A3EAD" w:rsidRDefault="009C037C" w:rsidP="0049372C">
      <w:pPr>
        <w:pStyle w:val="ListParagraph"/>
        <w:numPr>
          <w:ilvl w:val="0"/>
          <w:numId w:val="21"/>
        </w:numPr>
        <w:suppressAutoHyphens/>
        <w:spacing w:after="0" w:line="240" w:lineRule="auto"/>
        <w:contextualSpacing w:val="0"/>
        <w:jc w:val="both"/>
        <w:rPr>
          <w:rFonts w:ascii="Times New Roman" w:hAnsi="Times New Roman"/>
          <w:sz w:val="24"/>
          <w:szCs w:val="24"/>
          <w:lang w:val="bg-BG"/>
        </w:rPr>
      </w:pPr>
      <w:r w:rsidRPr="002A3EAD">
        <w:rPr>
          <w:rFonts w:ascii="Times New Roman" w:hAnsi="Times New Roman"/>
          <w:sz w:val="24"/>
          <w:szCs w:val="24"/>
          <w:lang w:val="bg-BG"/>
        </w:rPr>
        <w:t>З</w:t>
      </w:r>
      <w:r w:rsidR="002F23D0" w:rsidRPr="002A3EAD">
        <w:rPr>
          <w:rFonts w:ascii="Times New Roman" w:hAnsi="Times New Roman"/>
          <w:sz w:val="24"/>
          <w:szCs w:val="24"/>
          <w:lang w:val="bg-BG"/>
        </w:rPr>
        <w:t>акупуване и инсталиране на нова система за УВД;</w:t>
      </w:r>
    </w:p>
    <w:p w:rsidR="003F2551" w:rsidRPr="002A3EAD" w:rsidRDefault="003F2551" w:rsidP="0049372C">
      <w:pPr>
        <w:pStyle w:val="ListParagraph"/>
        <w:numPr>
          <w:ilvl w:val="0"/>
          <w:numId w:val="21"/>
        </w:numPr>
        <w:suppressAutoHyphens/>
        <w:spacing w:after="0" w:line="240" w:lineRule="auto"/>
        <w:contextualSpacing w:val="0"/>
        <w:jc w:val="both"/>
        <w:rPr>
          <w:rFonts w:ascii="Times New Roman" w:hAnsi="Times New Roman"/>
          <w:sz w:val="24"/>
          <w:szCs w:val="24"/>
          <w:lang w:val="bg-BG"/>
        </w:rPr>
      </w:pPr>
      <w:r w:rsidRPr="002A3EAD">
        <w:rPr>
          <w:rFonts w:ascii="Times New Roman" w:hAnsi="Times New Roman"/>
          <w:sz w:val="24"/>
          <w:szCs w:val="24"/>
          <w:lang w:val="bg-BG"/>
        </w:rPr>
        <w:lastRenderedPageBreak/>
        <w:t>Модернизиране/подмяна на сензорите и радарите за обзор на въздушното пространство;</w:t>
      </w:r>
    </w:p>
    <w:p w:rsidR="003F2551" w:rsidRPr="002A3EAD" w:rsidRDefault="0049553D" w:rsidP="0049372C">
      <w:pPr>
        <w:pStyle w:val="ListParagraph"/>
        <w:numPr>
          <w:ilvl w:val="0"/>
          <w:numId w:val="21"/>
        </w:numPr>
        <w:suppressAutoHyphens/>
        <w:spacing w:after="0" w:line="240" w:lineRule="auto"/>
        <w:contextualSpacing w:val="0"/>
        <w:jc w:val="both"/>
        <w:rPr>
          <w:rFonts w:ascii="Times New Roman" w:hAnsi="Times New Roman"/>
          <w:sz w:val="24"/>
          <w:szCs w:val="24"/>
          <w:lang w:val="bg-BG"/>
        </w:rPr>
      </w:pPr>
      <w:r w:rsidRPr="002A3EAD">
        <w:rPr>
          <w:rFonts w:ascii="Times New Roman" w:hAnsi="Times New Roman"/>
          <w:sz w:val="24"/>
          <w:szCs w:val="24"/>
          <w:lang w:val="bg-BG"/>
        </w:rPr>
        <w:t>Модернизиране и укрепване на летищна контролна кула на летище Варна</w:t>
      </w:r>
      <w:r w:rsidR="003F2551" w:rsidRPr="002A3EAD">
        <w:rPr>
          <w:rFonts w:ascii="Times New Roman" w:hAnsi="Times New Roman"/>
          <w:sz w:val="24"/>
          <w:szCs w:val="24"/>
          <w:lang w:val="bg-BG"/>
        </w:rPr>
        <w:t>;</w:t>
      </w:r>
    </w:p>
    <w:p w:rsidR="003F2551" w:rsidRPr="002A3EAD" w:rsidRDefault="003F2551" w:rsidP="0049372C">
      <w:pPr>
        <w:pStyle w:val="ListParagraph"/>
        <w:numPr>
          <w:ilvl w:val="0"/>
          <w:numId w:val="21"/>
        </w:numPr>
        <w:suppressAutoHyphens/>
        <w:spacing w:after="0" w:line="240" w:lineRule="auto"/>
        <w:contextualSpacing w:val="0"/>
        <w:jc w:val="both"/>
        <w:rPr>
          <w:rFonts w:ascii="Times New Roman" w:hAnsi="Times New Roman"/>
          <w:sz w:val="24"/>
          <w:szCs w:val="24"/>
          <w:lang w:val="bg-BG"/>
        </w:rPr>
      </w:pPr>
      <w:r w:rsidRPr="002A3EAD">
        <w:rPr>
          <w:rFonts w:ascii="Times New Roman" w:hAnsi="Times New Roman"/>
          <w:sz w:val="24"/>
          <w:szCs w:val="24"/>
          <w:lang w:val="bg-BG"/>
        </w:rPr>
        <w:t>Модернизиране и укрепване на летищна контролна кула на летище Бургас;</w:t>
      </w:r>
    </w:p>
    <w:p w:rsidR="002F23D0" w:rsidRPr="002A3EAD" w:rsidRDefault="002F23D0" w:rsidP="0049372C">
      <w:pPr>
        <w:pStyle w:val="ListParagraph"/>
        <w:numPr>
          <w:ilvl w:val="0"/>
          <w:numId w:val="21"/>
        </w:numPr>
        <w:suppressAutoHyphens/>
        <w:spacing w:after="0" w:line="240" w:lineRule="auto"/>
        <w:contextualSpacing w:val="0"/>
        <w:jc w:val="both"/>
        <w:rPr>
          <w:rFonts w:ascii="Times New Roman" w:hAnsi="Times New Roman"/>
          <w:sz w:val="24"/>
          <w:szCs w:val="24"/>
          <w:lang w:val="bg-BG"/>
        </w:rPr>
      </w:pPr>
      <w:r w:rsidRPr="002A3EAD">
        <w:rPr>
          <w:rFonts w:ascii="Times New Roman" w:hAnsi="Times New Roman"/>
          <w:sz w:val="24"/>
          <w:szCs w:val="24"/>
          <w:lang w:val="bg-BG"/>
        </w:rPr>
        <w:t>Модернизация на радиокомуникационното обо</w:t>
      </w:r>
      <w:r w:rsidR="000D2F1F" w:rsidRPr="002A3EAD">
        <w:rPr>
          <w:rFonts w:ascii="Times New Roman" w:hAnsi="Times New Roman"/>
          <w:sz w:val="24"/>
          <w:szCs w:val="24"/>
          <w:lang w:val="bg-BG"/>
        </w:rPr>
        <w:t>рудване за осъществяване на връзка въздух-земя;</w:t>
      </w:r>
    </w:p>
    <w:p w:rsidR="000D2F1F" w:rsidRPr="002A3EAD" w:rsidRDefault="000D2F1F" w:rsidP="0049372C">
      <w:pPr>
        <w:pStyle w:val="ListParagraph"/>
        <w:numPr>
          <w:ilvl w:val="0"/>
          <w:numId w:val="21"/>
        </w:numPr>
        <w:suppressAutoHyphens/>
        <w:spacing w:after="0" w:line="240" w:lineRule="auto"/>
        <w:contextualSpacing w:val="0"/>
        <w:jc w:val="both"/>
        <w:rPr>
          <w:rFonts w:ascii="Times New Roman" w:hAnsi="Times New Roman"/>
          <w:sz w:val="24"/>
          <w:szCs w:val="24"/>
          <w:lang w:val="bg-BG"/>
        </w:rPr>
      </w:pPr>
      <w:r w:rsidRPr="002A3EAD">
        <w:rPr>
          <w:rFonts w:ascii="Times New Roman" w:hAnsi="Times New Roman"/>
          <w:sz w:val="24"/>
          <w:szCs w:val="24"/>
          <w:lang w:val="bg-BG"/>
        </w:rPr>
        <w:t>Доставка и инсталация на нова система на оперативна гласова комуникация;</w:t>
      </w:r>
    </w:p>
    <w:p w:rsidR="000D2F1F" w:rsidRPr="002A3EAD" w:rsidRDefault="000D2F1F" w:rsidP="0049372C">
      <w:pPr>
        <w:pStyle w:val="ListParagraph"/>
        <w:numPr>
          <w:ilvl w:val="0"/>
          <w:numId w:val="21"/>
        </w:numPr>
        <w:suppressAutoHyphens/>
        <w:spacing w:after="0" w:line="240" w:lineRule="auto"/>
        <w:contextualSpacing w:val="0"/>
        <w:jc w:val="both"/>
        <w:rPr>
          <w:rFonts w:ascii="Times New Roman" w:hAnsi="Times New Roman"/>
          <w:sz w:val="24"/>
          <w:szCs w:val="24"/>
          <w:lang w:val="bg-BG"/>
        </w:rPr>
      </w:pPr>
      <w:r w:rsidRPr="002A3EAD">
        <w:rPr>
          <w:rFonts w:ascii="Times New Roman" w:hAnsi="Times New Roman"/>
          <w:sz w:val="24"/>
          <w:szCs w:val="24"/>
          <w:lang w:val="bg-BG"/>
        </w:rPr>
        <w:t>Изграждане на комуникационна инфраструктура за предоставяне на услугата А/</w:t>
      </w:r>
      <w:r w:rsidRPr="002A3EAD">
        <w:rPr>
          <w:rFonts w:ascii="Times New Roman" w:hAnsi="Times New Roman"/>
          <w:sz w:val="24"/>
          <w:szCs w:val="24"/>
        </w:rPr>
        <w:t>G Data Link Services</w:t>
      </w:r>
      <w:r w:rsidRPr="002A3EAD">
        <w:rPr>
          <w:rFonts w:ascii="Times New Roman" w:hAnsi="Times New Roman"/>
          <w:sz w:val="24"/>
          <w:szCs w:val="24"/>
          <w:lang w:val="bg-BG"/>
        </w:rPr>
        <w:t>;</w:t>
      </w:r>
    </w:p>
    <w:p w:rsidR="003F2551" w:rsidRPr="002A3EAD" w:rsidRDefault="000D2F1F" w:rsidP="0049372C">
      <w:pPr>
        <w:pStyle w:val="ListParagraph"/>
        <w:numPr>
          <w:ilvl w:val="0"/>
          <w:numId w:val="21"/>
        </w:numPr>
        <w:suppressAutoHyphens/>
        <w:spacing w:after="0" w:line="240" w:lineRule="auto"/>
        <w:contextualSpacing w:val="0"/>
        <w:jc w:val="both"/>
        <w:rPr>
          <w:rFonts w:ascii="Times New Roman" w:hAnsi="Times New Roman"/>
          <w:sz w:val="24"/>
          <w:szCs w:val="24"/>
          <w:lang w:val="bg-BG"/>
        </w:rPr>
      </w:pPr>
      <w:r w:rsidRPr="002A3EAD">
        <w:rPr>
          <w:rFonts w:ascii="Times New Roman" w:hAnsi="Times New Roman"/>
          <w:sz w:val="24"/>
          <w:szCs w:val="24"/>
          <w:lang w:val="bg-BG"/>
        </w:rPr>
        <w:t>Доставка на многопозиционна система за независим обзор с разширен обхват и за автоматичен зависим обзор</w:t>
      </w:r>
      <w:r w:rsidR="003F2551" w:rsidRPr="002A3EAD">
        <w:rPr>
          <w:rFonts w:ascii="Times New Roman" w:hAnsi="Times New Roman"/>
          <w:sz w:val="24"/>
          <w:szCs w:val="24"/>
          <w:lang w:val="bg-BG"/>
        </w:rPr>
        <w:t>.</w:t>
      </w:r>
    </w:p>
    <w:p w:rsidR="00FC15F1" w:rsidRPr="002A3EAD" w:rsidRDefault="00FC15F1" w:rsidP="00FC15F1">
      <w:pPr>
        <w:suppressAutoHyphens/>
        <w:jc w:val="both"/>
        <w:rPr>
          <w:lang w:val="en-US"/>
        </w:rPr>
      </w:pPr>
    </w:p>
    <w:p w:rsidR="0050571D" w:rsidRPr="002A3EAD" w:rsidRDefault="00A25F37" w:rsidP="008225FD">
      <w:pPr>
        <w:pStyle w:val="BodyText"/>
        <w:ind w:firstLine="708"/>
        <w:rPr>
          <w:rFonts w:ascii="Times New Roman" w:hAnsi="Times New Roman"/>
          <w:i w:val="0"/>
          <w:sz w:val="24"/>
        </w:rPr>
      </w:pPr>
      <w:r w:rsidRPr="002A3EAD">
        <w:rPr>
          <w:rFonts w:ascii="Times New Roman" w:hAnsi="Times New Roman"/>
          <w:i w:val="0"/>
          <w:sz w:val="24"/>
        </w:rPr>
        <w:t xml:space="preserve">Общата стойност </w:t>
      </w:r>
      <w:r w:rsidR="00C01517" w:rsidRPr="002A3EAD">
        <w:rPr>
          <w:rFonts w:ascii="Times New Roman" w:hAnsi="Times New Roman"/>
          <w:i w:val="0"/>
          <w:sz w:val="24"/>
        </w:rPr>
        <w:t xml:space="preserve">на инвестициите </w:t>
      </w:r>
      <w:r w:rsidRPr="002A3EAD">
        <w:rPr>
          <w:rFonts w:ascii="Times New Roman" w:hAnsi="Times New Roman"/>
          <w:i w:val="0"/>
          <w:sz w:val="24"/>
        </w:rPr>
        <w:t>за Втори</w:t>
      </w:r>
      <w:r w:rsidR="003F3F52">
        <w:rPr>
          <w:rFonts w:ascii="Times New Roman" w:hAnsi="Times New Roman"/>
          <w:i w:val="0"/>
          <w:sz w:val="24"/>
        </w:rPr>
        <w:t>я</w:t>
      </w:r>
      <w:r w:rsidRPr="002A3EAD">
        <w:rPr>
          <w:rFonts w:ascii="Times New Roman" w:hAnsi="Times New Roman"/>
          <w:i w:val="0"/>
          <w:sz w:val="24"/>
        </w:rPr>
        <w:t xml:space="preserve"> референтен период</w:t>
      </w:r>
      <w:r w:rsidR="00C01517" w:rsidRPr="002A3EAD">
        <w:rPr>
          <w:rFonts w:ascii="Times New Roman" w:hAnsi="Times New Roman"/>
          <w:i w:val="0"/>
          <w:sz w:val="24"/>
        </w:rPr>
        <w:t>, заложен</w:t>
      </w:r>
      <w:r w:rsidRPr="002A3EAD">
        <w:rPr>
          <w:rFonts w:ascii="Times New Roman" w:hAnsi="Times New Roman"/>
          <w:i w:val="0"/>
          <w:sz w:val="24"/>
        </w:rPr>
        <w:t>а</w:t>
      </w:r>
      <w:r w:rsidR="00C01517" w:rsidRPr="002A3EAD">
        <w:rPr>
          <w:rFonts w:ascii="Times New Roman" w:hAnsi="Times New Roman"/>
          <w:i w:val="0"/>
          <w:sz w:val="24"/>
        </w:rPr>
        <w:t xml:space="preserve"> в </w:t>
      </w:r>
      <w:r w:rsidR="008225FD">
        <w:rPr>
          <w:rFonts w:ascii="Times New Roman" w:hAnsi="Times New Roman"/>
          <w:i w:val="0"/>
          <w:sz w:val="24"/>
        </w:rPr>
        <w:t xml:space="preserve">ревизирания </w:t>
      </w:r>
      <w:r w:rsidRPr="002A3EAD">
        <w:rPr>
          <w:rFonts w:ascii="Times New Roman" w:hAnsi="Times New Roman"/>
          <w:i w:val="0"/>
          <w:sz w:val="24"/>
        </w:rPr>
        <w:t>План</w:t>
      </w:r>
      <w:r w:rsidR="00C01517" w:rsidRPr="002A3EAD">
        <w:rPr>
          <w:rFonts w:ascii="Times New Roman" w:hAnsi="Times New Roman"/>
          <w:i w:val="0"/>
          <w:sz w:val="24"/>
        </w:rPr>
        <w:t xml:space="preserve"> за ефективност, е на стойност </w:t>
      </w:r>
      <w:r w:rsidR="001B0FF5">
        <w:rPr>
          <w:rFonts w:ascii="Times New Roman" w:hAnsi="Times New Roman"/>
          <w:i w:val="0"/>
          <w:sz w:val="24"/>
        </w:rPr>
        <w:t xml:space="preserve">над </w:t>
      </w:r>
      <w:r w:rsidRPr="002A3EAD">
        <w:rPr>
          <w:rFonts w:ascii="Times New Roman" w:hAnsi="Times New Roman"/>
          <w:i w:val="0"/>
          <w:sz w:val="24"/>
          <w:lang w:val="en-US"/>
        </w:rPr>
        <w:t>170</w:t>
      </w:r>
      <w:r w:rsidR="00C01517" w:rsidRPr="002A3EAD">
        <w:rPr>
          <w:rFonts w:ascii="Times New Roman" w:hAnsi="Times New Roman"/>
          <w:i w:val="0"/>
          <w:sz w:val="24"/>
        </w:rPr>
        <w:t xml:space="preserve"> млн.лв.</w:t>
      </w:r>
      <w:r w:rsidR="003F3F52">
        <w:rPr>
          <w:rFonts w:ascii="Times New Roman" w:hAnsi="Times New Roman"/>
          <w:i w:val="0"/>
          <w:sz w:val="24"/>
        </w:rPr>
        <w:t xml:space="preserve"> </w:t>
      </w:r>
      <w:r w:rsidR="0050571D" w:rsidRPr="002A3EAD">
        <w:rPr>
          <w:rFonts w:ascii="Times New Roman" w:hAnsi="Times New Roman"/>
          <w:i w:val="0"/>
          <w:sz w:val="24"/>
        </w:rPr>
        <w:t>По-големи проекти</w:t>
      </w:r>
      <w:r w:rsidR="003F3F52">
        <w:rPr>
          <w:rFonts w:ascii="Times New Roman" w:hAnsi="Times New Roman"/>
          <w:i w:val="0"/>
          <w:sz w:val="24"/>
        </w:rPr>
        <w:t xml:space="preserve">, </w:t>
      </w:r>
      <w:r w:rsidR="0050571D" w:rsidRPr="002A3EAD">
        <w:rPr>
          <w:rFonts w:ascii="Times New Roman" w:hAnsi="Times New Roman"/>
          <w:i w:val="0"/>
          <w:sz w:val="24"/>
        </w:rPr>
        <w:t>в процес на изпълнение</w:t>
      </w:r>
      <w:r w:rsidR="003F3F52">
        <w:rPr>
          <w:rFonts w:ascii="Times New Roman" w:hAnsi="Times New Roman"/>
          <w:i w:val="0"/>
          <w:sz w:val="24"/>
        </w:rPr>
        <w:t>, са</w:t>
      </w:r>
      <w:r w:rsidR="0050571D" w:rsidRPr="002A3EAD">
        <w:rPr>
          <w:rFonts w:ascii="Times New Roman" w:hAnsi="Times New Roman"/>
          <w:i w:val="0"/>
          <w:sz w:val="24"/>
        </w:rPr>
        <w:t>:</w:t>
      </w:r>
    </w:p>
    <w:p w:rsidR="0050571D" w:rsidRPr="002A3EAD" w:rsidRDefault="003F3F52" w:rsidP="00CF7EDC">
      <w:pPr>
        <w:pStyle w:val="BodyText"/>
        <w:numPr>
          <w:ilvl w:val="0"/>
          <w:numId w:val="33"/>
        </w:numPr>
        <w:rPr>
          <w:rFonts w:ascii="Times New Roman" w:hAnsi="Times New Roman"/>
          <w:i w:val="0"/>
          <w:sz w:val="24"/>
          <w:lang w:val="en-US"/>
        </w:rPr>
      </w:pPr>
      <w:r>
        <w:rPr>
          <w:rFonts w:ascii="Times New Roman" w:hAnsi="Times New Roman"/>
          <w:i w:val="0"/>
          <w:sz w:val="24"/>
        </w:rPr>
        <w:t>М</w:t>
      </w:r>
      <w:r w:rsidR="009A18D6" w:rsidRPr="002A3EAD">
        <w:rPr>
          <w:rFonts w:ascii="Times New Roman" w:hAnsi="Times New Roman"/>
          <w:i w:val="0"/>
          <w:sz w:val="24"/>
        </w:rPr>
        <w:t>одернизация</w:t>
      </w:r>
      <w:r w:rsidR="0050571D" w:rsidRPr="002A3EAD">
        <w:rPr>
          <w:rFonts w:ascii="Times New Roman" w:hAnsi="Times New Roman"/>
          <w:i w:val="0"/>
          <w:sz w:val="24"/>
        </w:rPr>
        <w:t xml:space="preserve"> на радиолокационни комплекси</w:t>
      </w:r>
      <w:r>
        <w:rPr>
          <w:rFonts w:ascii="Times New Roman" w:hAnsi="Times New Roman"/>
          <w:i w:val="0"/>
          <w:sz w:val="24"/>
        </w:rPr>
        <w:t xml:space="preserve"> (сключен договор)</w:t>
      </w:r>
      <w:r w:rsidR="00297630" w:rsidRPr="002A3EAD">
        <w:rPr>
          <w:rFonts w:ascii="Times New Roman" w:hAnsi="Times New Roman"/>
          <w:i w:val="0"/>
          <w:sz w:val="24"/>
          <w:lang w:val="en-US"/>
        </w:rPr>
        <w:t>;</w:t>
      </w:r>
    </w:p>
    <w:p w:rsidR="009A18D6" w:rsidRPr="002A3EAD" w:rsidRDefault="003F3F52" w:rsidP="00CF7EDC">
      <w:pPr>
        <w:pStyle w:val="BodyText"/>
        <w:numPr>
          <w:ilvl w:val="0"/>
          <w:numId w:val="33"/>
        </w:numPr>
        <w:rPr>
          <w:rFonts w:ascii="Times New Roman" w:hAnsi="Times New Roman"/>
          <w:i w:val="0"/>
          <w:sz w:val="24"/>
          <w:lang w:val="en-US"/>
        </w:rPr>
      </w:pPr>
      <w:r>
        <w:rPr>
          <w:rFonts w:ascii="Times New Roman" w:hAnsi="Times New Roman"/>
          <w:i w:val="0"/>
          <w:sz w:val="24"/>
        </w:rPr>
        <w:t>Р</w:t>
      </w:r>
      <w:r w:rsidR="009A18D6" w:rsidRPr="002A3EAD">
        <w:rPr>
          <w:rFonts w:ascii="Times New Roman" w:hAnsi="Times New Roman"/>
          <w:i w:val="0"/>
          <w:sz w:val="24"/>
        </w:rPr>
        <w:t>еконструкция и модернизация на летищна контролна кула на летище Бургас</w:t>
      </w:r>
      <w:r>
        <w:rPr>
          <w:rFonts w:ascii="Times New Roman" w:hAnsi="Times New Roman"/>
          <w:i w:val="0"/>
          <w:sz w:val="24"/>
        </w:rPr>
        <w:t xml:space="preserve"> (сключен договор)</w:t>
      </w:r>
      <w:r w:rsidR="009A18D6" w:rsidRPr="002A3EAD">
        <w:rPr>
          <w:rFonts w:ascii="Times New Roman" w:hAnsi="Times New Roman"/>
          <w:i w:val="0"/>
          <w:sz w:val="24"/>
        </w:rPr>
        <w:t>;</w:t>
      </w:r>
    </w:p>
    <w:p w:rsidR="009A18D6" w:rsidRPr="002A3EAD" w:rsidRDefault="003F3F52" w:rsidP="00CF7EDC">
      <w:pPr>
        <w:pStyle w:val="BodyText"/>
        <w:numPr>
          <w:ilvl w:val="0"/>
          <w:numId w:val="33"/>
        </w:numPr>
        <w:rPr>
          <w:rFonts w:ascii="Times New Roman" w:hAnsi="Times New Roman"/>
          <w:i w:val="0"/>
          <w:sz w:val="24"/>
        </w:rPr>
      </w:pPr>
      <w:r>
        <w:rPr>
          <w:rFonts w:ascii="Times New Roman" w:hAnsi="Times New Roman"/>
          <w:i w:val="0"/>
          <w:sz w:val="24"/>
        </w:rPr>
        <w:t>Мо</w:t>
      </w:r>
      <w:r w:rsidR="009A18D6" w:rsidRPr="002A3EAD">
        <w:rPr>
          <w:rFonts w:ascii="Times New Roman" w:hAnsi="Times New Roman"/>
          <w:i w:val="0"/>
          <w:sz w:val="24"/>
        </w:rPr>
        <w:t>дернизация на радиокомуникационното оборудване за осъществяване на връзка въздух-земя</w:t>
      </w:r>
      <w:r>
        <w:rPr>
          <w:rFonts w:ascii="Times New Roman" w:hAnsi="Times New Roman"/>
          <w:i w:val="0"/>
          <w:sz w:val="24"/>
        </w:rPr>
        <w:t xml:space="preserve"> (сключен договор)</w:t>
      </w:r>
      <w:r w:rsidR="009A18D6" w:rsidRPr="002A3EAD">
        <w:rPr>
          <w:rFonts w:ascii="Times New Roman" w:hAnsi="Times New Roman"/>
          <w:i w:val="0"/>
          <w:sz w:val="24"/>
        </w:rPr>
        <w:t>;</w:t>
      </w:r>
    </w:p>
    <w:p w:rsidR="009A18D6" w:rsidRPr="002A3EAD" w:rsidRDefault="003F3F52" w:rsidP="00CF7EDC">
      <w:pPr>
        <w:pStyle w:val="BodyText"/>
        <w:numPr>
          <w:ilvl w:val="0"/>
          <w:numId w:val="33"/>
        </w:numPr>
        <w:rPr>
          <w:rFonts w:ascii="Times New Roman" w:hAnsi="Times New Roman"/>
          <w:i w:val="0"/>
          <w:sz w:val="24"/>
        </w:rPr>
      </w:pPr>
      <w:r>
        <w:rPr>
          <w:rFonts w:ascii="Times New Roman" w:hAnsi="Times New Roman"/>
          <w:i w:val="0"/>
          <w:sz w:val="24"/>
        </w:rPr>
        <w:t>Д</w:t>
      </w:r>
      <w:r w:rsidR="009A18D6" w:rsidRPr="002A3EAD">
        <w:rPr>
          <w:rFonts w:ascii="Times New Roman" w:hAnsi="Times New Roman"/>
          <w:i w:val="0"/>
          <w:sz w:val="24"/>
        </w:rPr>
        <w:t>оставка и инсталиране на многопозиционна система за независим обзор с разширен обхват и за автоматичен зависим обзор</w:t>
      </w:r>
      <w:r>
        <w:rPr>
          <w:rFonts w:ascii="Times New Roman" w:hAnsi="Times New Roman"/>
          <w:i w:val="0"/>
          <w:sz w:val="24"/>
        </w:rPr>
        <w:t xml:space="preserve"> (сключен договор)</w:t>
      </w:r>
      <w:r w:rsidR="009A18D6" w:rsidRPr="002A3EAD">
        <w:rPr>
          <w:rFonts w:ascii="Times New Roman" w:hAnsi="Times New Roman"/>
          <w:i w:val="0"/>
          <w:sz w:val="24"/>
        </w:rPr>
        <w:t>;</w:t>
      </w:r>
    </w:p>
    <w:p w:rsidR="00EB5CEE" w:rsidRPr="00D63EBD" w:rsidRDefault="0050571D" w:rsidP="00CF7EDC">
      <w:pPr>
        <w:pStyle w:val="BodyText"/>
        <w:numPr>
          <w:ilvl w:val="0"/>
          <w:numId w:val="33"/>
        </w:numPr>
        <w:rPr>
          <w:rFonts w:ascii="Times New Roman" w:hAnsi="Times New Roman"/>
          <w:i w:val="0"/>
          <w:sz w:val="24"/>
          <w:lang w:val="en-US"/>
        </w:rPr>
      </w:pPr>
      <w:r w:rsidRPr="002A3EAD">
        <w:rPr>
          <w:rFonts w:ascii="Times New Roman" w:hAnsi="Times New Roman"/>
          <w:i w:val="0"/>
          <w:sz w:val="24"/>
        </w:rPr>
        <w:t xml:space="preserve">Във връзка с изискванията на </w:t>
      </w:r>
      <w:r w:rsidR="006778CD">
        <w:rPr>
          <w:rFonts w:ascii="Times New Roman" w:hAnsi="Times New Roman"/>
          <w:i w:val="0"/>
          <w:sz w:val="24"/>
        </w:rPr>
        <w:t>Регламент</w:t>
      </w:r>
      <w:r w:rsidRPr="002A3EAD">
        <w:rPr>
          <w:rFonts w:ascii="Times New Roman" w:hAnsi="Times New Roman"/>
          <w:i w:val="0"/>
          <w:sz w:val="24"/>
        </w:rPr>
        <w:t xml:space="preserve"> 29/2009 на Европейския Парламент и Съвета относно внедряване на Air Ground Data Link (AGDL) е стартиран  проект за </w:t>
      </w:r>
      <w:r w:rsidR="00B648C4" w:rsidRPr="002A3EAD">
        <w:rPr>
          <w:rFonts w:ascii="Times New Roman" w:hAnsi="Times New Roman"/>
          <w:i w:val="0"/>
          <w:sz w:val="24"/>
        </w:rPr>
        <w:t>о</w:t>
      </w:r>
      <w:r w:rsidRPr="002A3EAD">
        <w:rPr>
          <w:rFonts w:ascii="Times New Roman" w:hAnsi="Times New Roman"/>
          <w:i w:val="0"/>
          <w:sz w:val="24"/>
        </w:rPr>
        <w:t>сигуряване преноса на данни от/към въздухоплавателни средства (ВС) на авиокомпании, обслужвани от комуникационния доставч</w:t>
      </w:r>
      <w:r w:rsidR="00297630" w:rsidRPr="002A3EAD">
        <w:rPr>
          <w:rFonts w:ascii="Times New Roman" w:hAnsi="Times New Roman"/>
          <w:i w:val="0"/>
          <w:sz w:val="24"/>
        </w:rPr>
        <w:t>ик SITA.</w:t>
      </w:r>
    </w:p>
    <w:p w:rsidR="00D63EBD" w:rsidRPr="00936452" w:rsidRDefault="00D63EBD" w:rsidP="00D63EBD">
      <w:pPr>
        <w:pStyle w:val="BodyText"/>
        <w:ind w:left="1440"/>
        <w:rPr>
          <w:rFonts w:ascii="Times New Roman" w:hAnsi="Times New Roman"/>
          <w:i w:val="0"/>
          <w:sz w:val="24"/>
          <w:lang w:val="en-US"/>
        </w:rPr>
      </w:pPr>
    </w:p>
    <w:p w:rsidR="00DD4084" w:rsidRPr="002A3EAD" w:rsidRDefault="00DD4084" w:rsidP="005A4666">
      <w:pPr>
        <w:pStyle w:val="BodyText"/>
        <w:rPr>
          <w:rFonts w:ascii="Times New Roman" w:hAnsi="Times New Roman"/>
          <w:i w:val="0"/>
          <w:sz w:val="24"/>
          <w:lang w:val="en-US"/>
        </w:rPr>
      </w:pPr>
    </w:p>
    <w:p w:rsidR="00875DAC" w:rsidRPr="002A3EAD" w:rsidRDefault="00875DAC" w:rsidP="00875DAC">
      <w:pPr>
        <w:jc w:val="both"/>
        <w:rPr>
          <w:b/>
        </w:rPr>
      </w:pPr>
      <w:r w:rsidRPr="002A3EAD">
        <w:rPr>
          <w:b/>
        </w:rPr>
        <w:t xml:space="preserve">Съставили:  1. ..............................................                         Ръководител:............................................ </w:t>
      </w:r>
    </w:p>
    <w:p w:rsidR="00875DAC" w:rsidRPr="002A3EAD" w:rsidRDefault="00875DAC" w:rsidP="00875DAC">
      <w:pPr>
        <w:ind w:left="708" w:firstLine="708"/>
        <w:jc w:val="both"/>
        <w:rPr>
          <w:b/>
        </w:rPr>
      </w:pPr>
      <w:r w:rsidRPr="002A3EAD">
        <w:rPr>
          <w:b/>
        </w:rPr>
        <w:t xml:space="preserve"> /</w:t>
      </w:r>
      <w:r w:rsidRPr="002A3EAD">
        <w:t xml:space="preserve">Цв. Георгиева –началник отдел ФАП/                               </w:t>
      </w:r>
      <w:r w:rsidRPr="002A3EAD">
        <w:rPr>
          <w:b/>
        </w:rPr>
        <w:t>/</w:t>
      </w:r>
      <w:r w:rsidRPr="002A3EAD">
        <w:t>Г. Пеев – ген. директор</w:t>
      </w:r>
      <w:r w:rsidRPr="002A3EAD">
        <w:rPr>
          <w:b/>
        </w:rPr>
        <w:t>/</w:t>
      </w:r>
    </w:p>
    <w:p w:rsidR="00875DAC" w:rsidRPr="002A3EAD" w:rsidRDefault="00875DAC" w:rsidP="00875DAC">
      <w:pPr>
        <w:ind w:left="708" w:firstLine="708"/>
        <w:jc w:val="both"/>
        <w:rPr>
          <w:b/>
        </w:rPr>
      </w:pPr>
    </w:p>
    <w:p w:rsidR="00875DAC" w:rsidRPr="002A3EAD" w:rsidRDefault="00875DAC" w:rsidP="00875DAC">
      <w:pPr>
        <w:ind w:left="708" w:firstLine="708"/>
        <w:jc w:val="both"/>
        <w:rPr>
          <w:b/>
        </w:rPr>
      </w:pPr>
      <w:r w:rsidRPr="002A3EAD">
        <w:rPr>
          <w:b/>
        </w:rPr>
        <w:t>2. ...............................................</w:t>
      </w:r>
    </w:p>
    <w:p w:rsidR="00875DAC" w:rsidRDefault="00875DAC" w:rsidP="00875DAC">
      <w:pPr>
        <w:ind w:left="708" w:firstLine="708"/>
        <w:jc w:val="both"/>
      </w:pPr>
      <w:r w:rsidRPr="002A3EAD">
        <w:t>/</w:t>
      </w:r>
      <w:r>
        <w:t>В. Йорданова</w:t>
      </w:r>
      <w:r w:rsidRPr="002A3EAD">
        <w:t xml:space="preserve"> – </w:t>
      </w:r>
      <w:r w:rsidR="00767B83">
        <w:t>експерт</w:t>
      </w:r>
      <w:r w:rsidRPr="002A3EAD">
        <w:t xml:space="preserve"> в отдел ФАП/</w:t>
      </w:r>
    </w:p>
    <w:p w:rsidR="009D3818" w:rsidRPr="002A3EAD" w:rsidRDefault="009D3818" w:rsidP="00875DAC">
      <w:pPr>
        <w:jc w:val="both"/>
        <w:rPr>
          <w:b/>
        </w:rPr>
      </w:pPr>
    </w:p>
    <w:p w:rsidR="00FC15F1" w:rsidRDefault="00FC15F1" w:rsidP="007E1E63">
      <w:pPr>
        <w:jc w:val="both"/>
        <w:rPr>
          <w:lang w:val="en-US"/>
        </w:rPr>
      </w:pPr>
    </w:p>
    <w:p w:rsidR="007E1E63" w:rsidRPr="002A3EAD" w:rsidRDefault="007E1E63" w:rsidP="007E1E63">
      <w:pPr>
        <w:jc w:val="both"/>
        <w:rPr>
          <w:b/>
        </w:rPr>
      </w:pPr>
      <w:r w:rsidRPr="002A3EAD">
        <w:rPr>
          <w:b/>
        </w:rPr>
        <w:t>Съгласували: 1. .............................................</w:t>
      </w:r>
    </w:p>
    <w:p w:rsidR="007E1E63" w:rsidRPr="002A3EAD" w:rsidRDefault="007E1E63" w:rsidP="007E1E63">
      <w:pPr>
        <w:jc w:val="both"/>
        <w:rPr>
          <w:lang w:val="en-US"/>
        </w:rPr>
      </w:pPr>
      <w:r w:rsidRPr="002A3EAD">
        <w:rPr>
          <w:b/>
        </w:rPr>
        <w:t xml:space="preserve">                          /</w:t>
      </w:r>
      <w:r w:rsidRPr="002A3EAD">
        <w:t>В. Тодоров – финансов директор и гл. счетоводител/</w:t>
      </w:r>
    </w:p>
    <w:p w:rsidR="00545481" w:rsidRPr="002A3EAD" w:rsidRDefault="00545481" w:rsidP="007E1E63">
      <w:pPr>
        <w:jc w:val="both"/>
        <w:rPr>
          <w:lang w:val="en-US"/>
        </w:rPr>
      </w:pPr>
    </w:p>
    <w:p w:rsidR="007E1E63" w:rsidRPr="002A3EAD" w:rsidRDefault="007E1E63" w:rsidP="007E1E63">
      <w:pPr>
        <w:jc w:val="both"/>
        <w:rPr>
          <w:b/>
        </w:rPr>
      </w:pPr>
      <w:r w:rsidRPr="002A3EAD">
        <w:rPr>
          <w:b/>
        </w:rPr>
        <w:t xml:space="preserve">                          2. ..............................................</w:t>
      </w:r>
    </w:p>
    <w:p w:rsidR="007E1E63" w:rsidRPr="002A3EAD" w:rsidRDefault="00A46579" w:rsidP="007E1E63">
      <w:pPr>
        <w:jc w:val="both"/>
        <w:rPr>
          <w:b/>
          <w:lang w:val="en-US"/>
        </w:rPr>
      </w:pPr>
      <w:r w:rsidRPr="002A3EAD">
        <w:rPr>
          <w:b/>
        </w:rPr>
        <w:t xml:space="preserve"> </w:t>
      </w:r>
      <w:r w:rsidR="007E1E63" w:rsidRPr="002A3EAD">
        <w:rPr>
          <w:b/>
        </w:rPr>
        <w:t xml:space="preserve">                        </w:t>
      </w:r>
      <w:r w:rsidR="007E1E63" w:rsidRPr="002A3EAD">
        <w:t>/</w:t>
      </w:r>
      <w:r w:rsidR="005E61D7">
        <w:t>З. Петрова</w:t>
      </w:r>
      <w:r w:rsidR="007E1E63" w:rsidRPr="002A3EAD">
        <w:t xml:space="preserve"> –</w:t>
      </w:r>
      <w:r w:rsidR="00A71ADF">
        <w:rPr>
          <w:lang w:val="en-US"/>
        </w:rPr>
        <w:t xml:space="preserve"> </w:t>
      </w:r>
      <w:r w:rsidR="007E1E63" w:rsidRPr="002A3EAD">
        <w:t>н</w:t>
      </w:r>
      <w:r w:rsidR="00E94295" w:rsidRPr="002A3EAD">
        <w:t>ачални</w:t>
      </w:r>
      <w:r w:rsidR="007E1E63" w:rsidRPr="002A3EAD">
        <w:t>к отдел „Счетоводство</w:t>
      </w:r>
      <w:r w:rsidR="007E1E63" w:rsidRPr="002A3EAD">
        <w:rPr>
          <w:b/>
        </w:rPr>
        <w:t>”</w:t>
      </w:r>
      <w:r w:rsidR="007E1E63" w:rsidRPr="002A3EAD">
        <w:rPr>
          <w:b/>
          <w:lang w:val="ru-RU"/>
        </w:rPr>
        <w:t>/</w:t>
      </w:r>
    </w:p>
    <w:p w:rsidR="006A176D" w:rsidRPr="002A3EAD" w:rsidRDefault="006A176D" w:rsidP="007E1E63">
      <w:pPr>
        <w:jc w:val="both"/>
        <w:rPr>
          <w:b/>
          <w:lang w:val="en-US"/>
        </w:rPr>
      </w:pPr>
    </w:p>
    <w:p w:rsidR="006A176D" w:rsidRPr="002A3EAD" w:rsidRDefault="006A176D" w:rsidP="006A176D">
      <w:pPr>
        <w:jc w:val="both"/>
        <w:rPr>
          <w:b/>
        </w:rPr>
      </w:pPr>
      <w:r w:rsidRPr="002A3EAD">
        <w:rPr>
          <w:b/>
        </w:rPr>
        <w:t xml:space="preserve">                          </w:t>
      </w:r>
      <w:r w:rsidRPr="002A3EAD">
        <w:rPr>
          <w:b/>
          <w:lang w:val="en-US"/>
        </w:rPr>
        <w:t>3</w:t>
      </w:r>
      <w:r w:rsidRPr="002A3EAD">
        <w:rPr>
          <w:b/>
        </w:rPr>
        <w:t>. ..............................................</w:t>
      </w:r>
    </w:p>
    <w:p w:rsidR="00E26915" w:rsidRDefault="006A176D" w:rsidP="00A46579">
      <w:pPr>
        <w:tabs>
          <w:tab w:val="left" w:pos="1920"/>
        </w:tabs>
        <w:jc w:val="both"/>
        <w:rPr>
          <w:lang w:val="en-US"/>
        </w:rPr>
      </w:pPr>
      <w:r w:rsidRPr="002A3EAD">
        <w:rPr>
          <w:b/>
        </w:rPr>
        <w:t xml:space="preserve">                         </w:t>
      </w:r>
      <w:r w:rsidRPr="002A3EAD">
        <w:t xml:space="preserve">/А. </w:t>
      </w:r>
      <w:r w:rsidR="0064419B" w:rsidRPr="002A3EAD">
        <w:t xml:space="preserve">Станоев – експерт УВД </w:t>
      </w:r>
      <w:r w:rsidRPr="002A3EAD">
        <w:t>/</w:t>
      </w:r>
    </w:p>
    <w:p w:rsidR="001E3881" w:rsidRPr="001E3881" w:rsidRDefault="001E3881" w:rsidP="00A46579">
      <w:pPr>
        <w:tabs>
          <w:tab w:val="left" w:pos="1920"/>
        </w:tabs>
        <w:jc w:val="both"/>
        <w:rPr>
          <w:b/>
          <w:lang w:val="en-US"/>
        </w:rPr>
      </w:pPr>
    </w:p>
    <w:p w:rsidR="007741ED" w:rsidRDefault="007741ED" w:rsidP="009F547D">
      <w:pPr>
        <w:tabs>
          <w:tab w:val="left" w:pos="1920"/>
        </w:tabs>
        <w:jc w:val="both"/>
        <w:rPr>
          <w:b/>
        </w:rPr>
      </w:pPr>
    </w:p>
    <w:p w:rsidR="00F902DD" w:rsidRPr="002A3EAD" w:rsidRDefault="00A66DC1" w:rsidP="009F547D">
      <w:pPr>
        <w:tabs>
          <w:tab w:val="left" w:pos="1920"/>
        </w:tabs>
        <w:jc w:val="both"/>
        <w:rPr>
          <w:b/>
        </w:rPr>
      </w:pPr>
      <w:r>
        <w:rPr>
          <w:b/>
        </w:rPr>
        <w:t>2</w:t>
      </w:r>
      <w:r w:rsidR="002F229F">
        <w:rPr>
          <w:b/>
          <w:lang w:val="en-US"/>
        </w:rPr>
        <w:t>2</w:t>
      </w:r>
      <w:r w:rsidR="00143A39">
        <w:rPr>
          <w:b/>
        </w:rPr>
        <w:t>.</w:t>
      </w:r>
      <w:r w:rsidR="002F229F">
        <w:rPr>
          <w:b/>
          <w:lang w:val="en-US"/>
        </w:rPr>
        <w:t>10</w:t>
      </w:r>
      <w:r w:rsidR="0098245A" w:rsidRPr="002A3EAD">
        <w:rPr>
          <w:b/>
          <w:lang w:val="en-US"/>
        </w:rPr>
        <w:t>.201</w:t>
      </w:r>
      <w:r w:rsidR="00624DF9">
        <w:rPr>
          <w:b/>
        </w:rPr>
        <w:t>8</w:t>
      </w:r>
      <w:r w:rsidR="007E1E63" w:rsidRPr="002A3EAD">
        <w:rPr>
          <w:b/>
        </w:rPr>
        <w:t xml:space="preserve"> г.</w:t>
      </w:r>
    </w:p>
    <w:sectPr w:rsidR="00F902DD" w:rsidRPr="002A3EAD" w:rsidSect="00A46579">
      <w:footerReference w:type="even" r:id="rId8"/>
      <w:footerReference w:type="default" r:id="rId9"/>
      <w:pgSz w:w="11906" w:h="16838"/>
      <w:pgMar w:top="1276" w:right="862" w:bottom="1134" w:left="86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5A2" w:rsidRDefault="00FA25A2">
      <w:r>
        <w:separator/>
      </w:r>
    </w:p>
  </w:endnote>
  <w:endnote w:type="continuationSeparator" w:id="0">
    <w:p w:rsidR="00FA25A2" w:rsidRDefault="00FA2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imes">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Латински">
    <w:altName w:val="Calibri"/>
    <w:panose1 w:val="00000000000000000000"/>
    <w:charset w:val="59"/>
    <w:family w:val="auto"/>
    <w:notTrueType/>
    <w:pitch w:val="variable"/>
    <w:sig w:usb0="00000001"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2EE" w:rsidRDefault="007822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22EE" w:rsidRDefault="007822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2EE" w:rsidRDefault="007822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4E31">
      <w:rPr>
        <w:rStyle w:val="PageNumber"/>
        <w:noProof/>
      </w:rPr>
      <w:t>6</w:t>
    </w:r>
    <w:r>
      <w:rPr>
        <w:rStyle w:val="PageNumber"/>
      </w:rPr>
      <w:fldChar w:fldCharType="end"/>
    </w:r>
  </w:p>
  <w:p w:rsidR="007822EE" w:rsidRDefault="007822E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5A2" w:rsidRDefault="00FA25A2">
      <w:r>
        <w:separator/>
      </w:r>
    </w:p>
  </w:footnote>
  <w:footnote w:type="continuationSeparator" w:id="0">
    <w:p w:rsidR="00FA25A2" w:rsidRDefault="00FA2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numFmt w:val="bullet"/>
      <w:lvlText w:val="-"/>
      <w:lvlJc w:val="left"/>
      <w:pPr>
        <w:tabs>
          <w:tab w:val="num" w:pos="1080"/>
        </w:tabs>
        <w:ind w:left="1080" w:hanging="360"/>
      </w:pPr>
      <w:rPr>
        <w:rFonts w:ascii="Times New Roman" w:hAnsi="Times New Roman" w:hint="default"/>
      </w:rPr>
    </w:lvl>
  </w:abstractNum>
  <w:abstractNum w:abstractNumId="1" w15:restartNumberingAfterBreak="0">
    <w:nsid w:val="00000002"/>
    <w:multiLevelType w:val="singleLevel"/>
    <w:tmpl w:val="00000000"/>
    <w:lvl w:ilvl="0">
      <w:start w:val="1"/>
      <w:numFmt w:val="decimal"/>
      <w:lvlText w:val="%1)"/>
      <w:lvlJc w:val="left"/>
      <w:pPr>
        <w:tabs>
          <w:tab w:val="num" w:pos="1080"/>
        </w:tabs>
        <w:ind w:left="1080" w:hanging="360"/>
      </w:pPr>
      <w:rPr>
        <w:rFonts w:hint="default"/>
      </w:rPr>
    </w:lvl>
  </w:abstractNum>
  <w:abstractNum w:abstractNumId="2" w15:restartNumberingAfterBreak="0">
    <w:nsid w:val="00000008"/>
    <w:multiLevelType w:val="singleLevel"/>
    <w:tmpl w:val="00000008"/>
    <w:name w:val="WW8Num8"/>
    <w:lvl w:ilvl="0">
      <w:start w:val="1"/>
      <w:numFmt w:val="bullet"/>
      <w:lvlText w:val=""/>
      <w:lvlJc w:val="left"/>
      <w:pPr>
        <w:tabs>
          <w:tab w:val="num" w:pos="0"/>
        </w:tabs>
        <w:ind w:left="1440" w:hanging="360"/>
      </w:pPr>
      <w:rPr>
        <w:rFonts w:ascii="Symbol" w:hAnsi="Symbol"/>
      </w:rPr>
    </w:lvl>
  </w:abstractNum>
  <w:abstractNum w:abstractNumId="3" w15:restartNumberingAfterBreak="0">
    <w:nsid w:val="04D04966"/>
    <w:multiLevelType w:val="hybridMultilevel"/>
    <w:tmpl w:val="08D4201C"/>
    <w:lvl w:ilvl="0" w:tplc="AD0E8AC4">
      <w:numFmt w:val="bullet"/>
      <w:lvlText w:val="-"/>
      <w:lvlJc w:val="left"/>
      <w:pPr>
        <w:tabs>
          <w:tab w:val="num" w:pos="2505"/>
        </w:tabs>
        <w:ind w:left="2505" w:hanging="1095"/>
      </w:pPr>
      <w:rPr>
        <w:rFonts w:ascii="Times New Roman" w:eastAsia="SimSun" w:hAnsi="Times New Roman" w:cs="Times New Roman" w:hint="default"/>
      </w:rPr>
    </w:lvl>
    <w:lvl w:ilvl="1" w:tplc="04020003" w:tentative="1">
      <w:start w:val="1"/>
      <w:numFmt w:val="bullet"/>
      <w:lvlText w:val="o"/>
      <w:lvlJc w:val="left"/>
      <w:pPr>
        <w:tabs>
          <w:tab w:val="num" w:pos="2490"/>
        </w:tabs>
        <w:ind w:left="2490" w:hanging="360"/>
      </w:pPr>
      <w:rPr>
        <w:rFonts w:ascii="Courier New" w:hAnsi="Courier New" w:cs="Courier New" w:hint="default"/>
      </w:rPr>
    </w:lvl>
    <w:lvl w:ilvl="2" w:tplc="04020005" w:tentative="1">
      <w:start w:val="1"/>
      <w:numFmt w:val="bullet"/>
      <w:lvlText w:val=""/>
      <w:lvlJc w:val="left"/>
      <w:pPr>
        <w:tabs>
          <w:tab w:val="num" w:pos="3210"/>
        </w:tabs>
        <w:ind w:left="3210" w:hanging="360"/>
      </w:pPr>
      <w:rPr>
        <w:rFonts w:ascii="Wingdings" w:hAnsi="Wingdings" w:hint="default"/>
      </w:rPr>
    </w:lvl>
    <w:lvl w:ilvl="3" w:tplc="04020001" w:tentative="1">
      <w:start w:val="1"/>
      <w:numFmt w:val="bullet"/>
      <w:lvlText w:val=""/>
      <w:lvlJc w:val="left"/>
      <w:pPr>
        <w:tabs>
          <w:tab w:val="num" w:pos="3930"/>
        </w:tabs>
        <w:ind w:left="3930" w:hanging="360"/>
      </w:pPr>
      <w:rPr>
        <w:rFonts w:ascii="Symbol" w:hAnsi="Symbol" w:hint="default"/>
      </w:rPr>
    </w:lvl>
    <w:lvl w:ilvl="4" w:tplc="04020003" w:tentative="1">
      <w:start w:val="1"/>
      <w:numFmt w:val="bullet"/>
      <w:lvlText w:val="o"/>
      <w:lvlJc w:val="left"/>
      <w:pPr>
        <w:tabs>
          <w:tab w:val="num" w:pos="4650"/>
        </w:tabs>
        <w:ind w:left="4650" w:hanging="360"/>
      </w:pPr>
      <w:rPr>
        <w:rFonts w:ascii="Courier New" w:hAnsi="Courier New" w:cs="Courier New" w:hint="default"/>
      </w:rPr>
    </w:lvl>
    <w:lvl w:ilvl="5" w:tplc="04020005" w:tentative="1">
      <w:start w:val="1"/>
      <w:numFmt w:val="bullet"/>
      <w:lvlText w:val=""/>
      <w:lvlJc w:val="left"/>
      <w:pPr>
        <w:tabs>
          <w:tab w:val="num" w:pos="5370"/>
        </w:tabs>
        <w:ind w:left="5370" w:hanging="360"/>
      </w:pPr>
      <w:rPr>
        <w:rFonts w:ascii="Wingdings" w:hAnsi="Wingdings" w:hint="default"/>
      </w:rPr>
    </w:lvl>
    <w:lvl w:ilvl="6" w:tplc="04020001" w:tentative="1">
      <w:start w:val="1"/>
      <w:numFmt w:val="bullet"/>
      <w:lvlText w:val=""/>
      <w:lvlJc w:val="left"/>
      <w:pPr>
        <w:tabs>
          <w:tab w:val="num" w:pos="6090"/>
        </w:tabs>
        <w:ind w:left="6090" w:hanging="360"/>
      </w:pPr>
      <w:rPr>
        <w:rFonts w:ascii="Symbol" w:hAnsi="Symbol" w:hint="default"/>
      </w:rPr>
    </w:lvl>
    <w:lvl w:ilvl="7" w:tplc="04020003" w:tentative="1">
      <w:start w:val="1"/>
      <w:numFmt w:val="bullet"/>
      <w:lvlText w:val="o"/>
      <w:lvlJc w:val="left"/>
      <w:pPr>
        <w:tabs>
          <w:tab w:val="num" w:pos="6810"/>
        </w:tabs>
        <w:ind w:left="6810" w:hanging="360"/>
      </w:pPr>
      <w:rPr>
        <w:rFonts w:ascii="Courier New" w:hAnsi="Courier New" w:cs="Courier New" w:hint="default"/>
      </w:rPr>
    </w:lvl>
    <w:lvl w:ilvl="8" w:tplc="04020005" w:tentative="1">
      <w:start w:val="1"/>
      <w:numFmt w:val="bullet"/>
      <w:lvlText w:val=""/>
      <w:lvlJc w:val="left"/>
      <w:pPr>
        <w:tabs>
          <w:tab w:val="num" w:pos="7530"/>
        </w:tabs>
        <w:ind w:left="7530" w:hanging="360"/>
      </w:pPr>
      <w:rPr>
        <w:rFonts w:ascii="Wingdings" w:hAnsi="Wingdings" w:hint="default"/>
      </w:rPr>
    </w:lvl>
  </w:abstractNum>
  <w:abstractNum w:abstractNumId="4" w15:restartNumberingAfterBreak="0">
    <w:nsid w:val="068419B2"/>
    <w:multiLevelType w:val="hybridMultilevel"/>
    <w:tmpl w:val="E8B04E0E"/>
    <w:lvl w:ilvl="0" w:tplc="A6D48C80">
      <w:start w:val="1"/>
      <w:numFmt w:val="bullet"/>
      <w:lvlText w:val=""/>
      <w:lvlJc w:val="left"/>
      <w:pPr>
        <w:tabs>
          <w:tab w:val="num" w:pos="1065"/>
        </w:tabs>
        <w:ind w:left="1065" w:hanging="360"/>
      </w:pPr>
      <w:rPr>
        <w:rFonts w:ascii="Symbol" w:hAnsi="Symbol" w:hint="default"/>
      </w:rPr>
    </w:lvl>
    <w:lvl w:ilvl="1" w:tplc="AB64A7CE" w:tentative="1">
      <w:start w:val="1"/>
      <w:numFmt w:val="bullet"/>
      <w:lvlText w:val="o"/>
      <w:lvlJc w:val="left"/>
      <w:pPr>
        <w:tabs>
          <w:tab w:val="num" w:pos="1785"/>
        </w:tabs>
        <w:ind w:left="1785" w:hanging="360"/>
      </w:pPr>
      <w:rPr>
        <w:rFonts w:ascii="Courier New" w:hAnsi="Courier New" w:cs="Arial Narrow" w:hint="default"/>
      </w:rPr>
    </w:lvl>
    <w:lvl w:ilvl="2" w:tplc="FC862516" w:tentative="1">
      <w:start w:val="1"/>
      <w:numFmt w:val="bullet"/>
      <w:lvlText w:val=""/>
      <w:lvlJc w:val="left"/>
      <w:pPr>
        <w:tabs>
          <w:tab w:val="num" w:pos="2505"/>
        </w:tabs>
        <w:ind w:left="2505" w:hanging="360"/>
      </w:pPr>
      <w:rPr>
        <w:rFonts w:ascii="Wingdings" w:hAnsi="Wingdings" w:hint="default"/>
      </w:rPr>
    </w:lvl>
    <w:lvl w:ilvl="3" w:tplc="06DC8D54" w:tentative="1">
      <w:start w:val="1"/>
      <w:numFmt w:val="bullet"/>
      <w:lvlText w:val=""/>
      <w:lvlJc w:val="left"/>
      <w:pPr>
        <w:tabs>
          <w:tab w:val="num" w:pos="3225"/>
        </w:tabs>
        <w:ind w:left="3225" w:hanging="360"/>
      </w:pPr>
      <w:rPr>
        <w:rFonts w:ascii="Symbol" w:hAnsi="Symbol" w:hint="default"/>
      </w:rPr>
    </w:lvl>
    <w:lvl w:ilvl="4" w:tplc="3E0A98B8" w:tentative="1">
      <w:start w:val="1"/>
      <w:numFmt w:val="bullet"/>
      <w:lvlText w:val="o"/>
      <w:lvlJc w:val="left"/>
      <w:pPr>
        <w:tabs>
          <w:tab w:val="num" w:pos="3945"/>
        </w:tabs>
        <w:ind w:left="3945" w:hanging="360"/>
      </w:pPr>
      <w:rPr>
        <w:rFonts w:ascii="Courier New" w:hAnsi="Courier New" w:cs="Arial Narrow" w:hint="default"/>
      </w:rPr>
    </w:lvl>
    <w:lvl w:ilvl="5" w:tplc="57DADB28" w:tentative="1">
      <w:start w:val="1"/>
      <w:numFmt w:val="bullet"/>
      <w:lvlText w:val=""/>
      <w:lvlJc w:val="left"/>
      <w:pPr>
        <w:tabs>
          <w:tab w:val="num" w:pos="4665"/>
        </w:tabs>
        <w:ind w:left="4665" w:hanging="360"/>
      </w:pPr>
      <w:rPr>
        <w:rFonts w:ascii="Wingdings" w:hAnsi="Wingdings" w:hint="default"/>
      </w:rPr>
    </w:lvl>
    <w:lvl w:ilvl="6" w:tplc="10E22E3A" w:tentative="1">
      <w:start w:val="1"/>
      <w:numFmt w:val="bullet"/>
      <w:lvlText w:val=""/>
      <w:lvlJc w:val="left"/>
      <w:pPr>
        <w:tabs>
          <w:tab w:val="num" w:pos="5385"/>
        </w:tabs>
        <w:ind w:left="5385" w:hanging="360"/>
      </w:pPr>
      <w:rPr>
        <w:rFonts w:ascii="Symbol" w:hAnsi="Symbol" w:hint="default"/>
      </w:rPr>
    </w:lvl>
    <w:lvl w:ilvl="7" w:tplc="C7D60D64" w:tentative="1">
      <w:start w:val="1"/>
      <w:numFmt w:val="bullet"/>
      <w:lvlText w:val="o"/>
      <w:lvlJc w:val="left"/>
      <w:pPr>
        <w:tabs>
          <w:tab w:val="num" w:pos="6105"/>
        </w:tabs>
        <w:ind w:left="6105" w:hanging="360"/>
      </w:pPr>
      <w:rPr>
        <w:rFonts w:ascii="Courier New" w:hAnsi="Courier New" w:cs="Arial Narrow" w:hint="default"/>
      </w:rPr>
    </w:lvl>
    <w:lvl w:ilvl="8" w:tplc="1736B568"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107F05E6"/>
    <w:multiLevelType w:val="hybridMultilevel"/>
    <w:tmpl w:val="E94484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38D301D"/>
    <w:multiLevelType w:val="hybridMultilevel"/>
    <w:tmpl w:val="162E4052"/>
    <w:lvl w:ilvl="0" w:tplc="FF12E7C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6D222D4"/>
    <w:multiLevelType w:val="hybridMultilevel"/>
    <w:tmpl w:val="94866874"/>
    <w:lvl w:ilvl="0" w:tplc="070E0B8E">
      <w:numFmt w:val="bullet"/>
      <w:lvlText w:val="-"/>
      <w:lvlJc w:val="left"/>
      <w:pPr>
        <w:tabs>
          <w:tab w:val="num" w:pos="1065"/>
        </w:tabs>
        <w:ind w:left="1065" w:hanging="360"/>
      </w:pPr>
      <w:rPr>
        <w:rFonts w:ascii="Times New Roman" w:eastAsia="SimSun" w:hAnsi="Times New Roman" w:cs="Times New Roman" w:hint="default"/>
      </w:rPr>
    </w:lvl>
    <w:lvl w:ilvl="1" w:tplc="9FB6A982" w:tentative="1">
      <w:start w:val="1"/>
      <w:numFmt w:val="bullet"/>
      <w:lvlText w:val="o"/>
      <w:lvlJc w:val="left"/>
      <w:pPr>
        <w:tabs>
          <w:tab w:val="num" w:pos="1785"/>
        </w:tabs>
        <w:ind w:left="1785" w:hanging="360"/>
      </w:pPr>
      <w:rPr>
        <w:rFonts w:ascii="Courier New" w:hAnsi="Courier New" w:cs="Arial Narrow" w:hint="default"/>
      </w:rPr>
    </w:lvl>
    <w:lvl w:ilvl="2" w:tplc="565ECDD4" w:tentative="1">
      <w:start w:val="1"/>
      <w:numFmt w:val="bullet"/>
      <w:lvlText w:val=""/>
      <w:lvlJc w:val="left"/>
      <w:pPr>
        <w:tabs>
          <w:tab w:val="num" w:pos="2505"/>
        </w:tabs>
        <w:ind w:left="2505" w:hanging="360"/>
      </w:pPr>
      <w:rPr>
        <w:rFonts w:ascii="Wingdings" w:hAnsi="Wingdings" w:hint="default"/>
      </w:rPr>
    </w:lvl>
    <w:lvl w:ilvl="3" w:tplc="C930DCE4" w:tentative="1">
      <w:start w:val="1"/>
      <w:numFmt w:val="bullet"/>
      <w:lvlText w:val=""/>
      <w:lvlJc w:val="left"/>
      <w:pPr>
        <w:tabs>
          <w:tab w:val="num" w:pos="3225"/>
        </w:tabs>
        <w:ind w:left="3225" w:hanging="360"/>
      </w:pPr>
      <w:rPr>
        <w:rFonts w:ascii="Symbol" w:hAnsi="Symbol" w:hint="default"/>
      </w:rPr>
    </w:lvl>
    <w:lvl w:ilvl="4" w:tplc="BDE202E2" w:tentative="1">
      <w:start w:val="1"/>
      <w:numFmt w:val="bullet"/>
      <w:lvlText w:val="o"/>
      <w:lvlJc w:val="left"/>
      <w:pPr>
        <w:tabs>
          <w:tab w:val="num" w:pos="3945"/>
        </w:tabs>
        <w:ind w:left="3945" w:hanging="360"/>
      </w:pPr>
      <w:rPr>
        <w:rFonts w:ascii="Courier New" w:hAnsi="Courier New" w:cs="Arial Narrow" w:hint="default"/>
      </w:rPr>
    </w:lvl>
    <w:lvl w:ilvl="5" w:tplc="D648205E" w:tentative="1">
      <w:start w:val="1"/>
      <w:numFmt w:val="bullet"/>
      <w:lvlText w:val=""/>
      <w:lvlJc w:val="left"/>
      <w:pPr>
        <w:tabs>
          <w:tab w:val="num" w:pos="4665"/>
        </w:tabs>
        <w:ind w:left="4665" w:hanging="360"/>
      </w:pPr>
      <w:rPr>
        <w:rFonts w:ascii="Wingdings" w:hAnsi="Wingdings" w:hint="default"/>
      </w:rPr>
    </w:lvl>
    <w:lvl w:ilvl="6" w:tplc="073AABDE" w:tentative="1">
      <w:start w:val="1"/>
      <w:numFmt w:val="bullet"/>
      <w:lvlText w:val=""/>
      <w:lvlJc w:val="left"/>
      <w:pPr>
        <w:tabs>
          <w:tab w:val="num" w:pos="5385"/>
        </w:tabs>
        <w:ind w:left="5385" w:hanging="360"/>
      </w:pPr>
      <w:rPr>
        <w:rFonts w:ascii="Symbol" w:hAnsi="Symbol" w:hint="default"/>
      </w:rPr>
    </w:lvl>
    <w:lvl w:ilvl="7" w:tplc="093A3FB6" w:tentative="1">
      <w:start w:val="1"/>
      <w:numFmt w:val="bullet"/>
      <w:lvlText w:val="o"/>
      <w:lvlJc w:val="left"/>
      <w:pPr>
        <w:tabs>
          <w:tab w:val="num" w:pos="6105"/>
        </w:tabs>
        <w:ind w:left="6105" w:hanging="360"/>
      </w:pPr>
      <w:rPr>
        <w:rFonts w:ascii="Courier New" w:hAnsi="Courier New" w:cs="Arial Narrow" w:hint="default"/>
      </w:rPr>
    </w:lvl>
    <w:lvl w:ilvl="8" w:tplc="949EF9C2" w:tentative="1">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7670D84"/>
    <w:multiLevelType w:val="hybridMultilevel"/>
    <w:tmpl w:val="6C76498A"/>
    <w:lvl w:ilvl="0" w:tplc="00000000">
      <w:numFmt w:val="bullet"/>
      <w:lvlText w:val="-"/>
      <w:lvlJc w:val="left"/>
      <w:pPr>
        <w:ind w:left="1440" w:hanging="360"/>
      </w:pPr>
      <w:rPr>
        <w:rFonts w:ascii="Times" w:hAnsi="Time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A9213A5"/>
    <w:multiLevelType w:val="hybridMultilevel"/>
    <w:tmpl w:val="B4BE6B80"/>
    <w:lvl w:ilvl="0" w:tplc="00000000">
      <w:numFmt w:val="bullet"/>
      <w:lvlText w:val="-"/>
      <w:lvlJc w:val="left"/>
      <w:pPr>
        <w:ind w:left="720" w:hanging="360"/>
      </w:pPr>
      <w:rPr>
        <w:rFonts w:ascii="Times" w:hAnsi="Times"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ACB15E9"/>
    <w:multiLevelType w:val="hybridMultilevel"/>
    <w:tmpl w:val="8696B3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CA806AC"/>
    <w:multiLevelType w:val="hybridMultilevel"/>
    <w:tmpl w:val="44109E14"/>
    <w:lvl w:ilvl="0" w:tplc="00000000">
      <w:numFmt w:val="bullet"/>
      <w:lvlText w:val="-"/>
      <w:lvlJc w:val="left"/>
      <w:pPr>
        <w:ind w:left="1428" w:hanging="360"/>
      </w:pPr>
      <w:rPr>
        <w:rFonts w:ascii="Times" w:hAnsi="Time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15:restartNumberingAfterBreak="0">
    <w:nsid w:val="1CC858CC"/>
    <w:multiLevelType w:val="hybridMultilevel"/>
    <w:tmpl w:val="EEF496F2"/>
    <w:lvl w:ilvl="0" w:tplc="5CD4CE90">
      <w:start w:val="1"/>
      <w:numFmt w:val="bullet"/>
      <w:lvlText w:val=""/>
      <w:lvlJc w:val="left"/>
      <w:pPr>
        <w:tabs>
          <w:tab w:val="num" w:pos="720"/>
        </w:tabs>
        <w:ind w:left="720" w:hanging="360"/>
      </w:pPr>
      <w:rPr>
        <w:rFonts w:ascii="Symbol" w:hAnsi="Symbol" w:hint="default"/>
      </w:rPr>
    </w:lvl>
    <w:lvl w:ilvl="1" w:tplc="0F1C1268" w:tentative="1">
      <w:start w:val="1"/>
      <w:numFmt w:val="bullet"/>
      <w:lvlText w:val="o"/>
      <w:lvlJc w:val="left"/>
      <w:pPr>
        <w:tabs>
          <w:tab w:val="num" w:pos="1440"/>
        </w:tabs>
        <w:ind w:left="1440" w:hanging="360"/>
      </w:pPr>
      <w:rPr>
        <w:rFonts w:ascii="Courier New" w:hAnsi="Courier New" w:cs="Arial Narrow" w:hint="default"/>
      </w:rPr>
    </w:lvl>
    <w:lvl w:ilvl="2" w:tplc="989E692E" w:tentative="1">
      <w:start w:val="1"/>
      <w:numFmt w:val="bullet"/>
      <w:lvlText w:val=""/>
      <w:lvlJc w:val="left"/>
      <w:pPr>
        <w:tabs>
          <w:tab w:val="num" w:pos="2160"/>
        </w:tabs>
        <w:ind w:left="2160" w:hanging="360"/>
      </w:pPr>
      <w:rPr>
        <w:rFonts w:ascii="Wingdings" w:hAnsi="Wingdings" w:hint="default"/>
      </w:rPr>
    </w:lvl>
    <w:lvl w:ilvl="3" w:tplc="A2A62F2A" w:tentative="1">
      <w:start w:val="1"/>
      <w:numFmt w:val="bullet"/>
      <w:lvlText w:val=""/>
      <w:lvlJc w:val="left"/>
      <w:pPr>
        <w:tabs>
          <w:tab w:val="num" w:pos="2880"/>
        </w:tabs>
        <w:ind w:left="2880" w:hanging="360"/>
      </w:pPr>
      <w:rPr>
        <w:rFonts w:ascii="Symbol" w:hAnsi="Symbol" w:hint="default"/>
      </w:rPr>
    </w:lvl>
    <w:lvl w:ilvl="4" w:tplc="A84021AE" w:tentative="1">
      <w:start w:val="1"/>
      <w:numFmt w:val="bullet"/>
      <w:lvlText w:val="o"/>
      <w:lvlJc w:val="left"/>
      <w:pPr>
        <w:tabs>
          <w:tab w:val="num" w:pos="3600"/>
        </w:tabs>
        <w:ind w:left="3600" w:hanging="360"/>
      </w:pPr>
      <w:rPr>
        <w:rFonts w:ascii="Courier New" w:hAnsi="Courier New" w:cs="Arial Narrow" w:hint="default"/>
      </w:rPr>
    </w:lvl>
    <w:lvl w:ilvl="5" w:tplc="8A566A04" w:tentative="1">
      <w:start w:val="1"/>
      <w:numFmt w:val="bullet"/>
      <w:lvlText w:val=""/>
      <w:lvlJc w:val="left"/>
      <w:pPr>
        <w:tabs>
          <w:tab w:val="num" w:pos="4320"/>
        </w:tabs>
        <w:ind w:left="4320" w:hanging="360"/>
      </w:pPr>
      <w:rPr>
        <w:rFonts w:ascii="Wingdings" w:hAnsi="Wingdings" w:hint="default"/>
      </w:rPr>
    </w:lvl>
    <w:lvl w:ilvl="6" w:tplc="73D2C1CA" w:tentative="1">
      <w:start w:val="1"/>
      <w:numFmt w:val="bullet"/>
      <w:lvlText w:val=""/>
      <w:lvlJc w:val="left"/>
      <w:pPr>
        <w:tabs>
          <w:tab w:val="num" w:pos="5040"/>
        </w:tabs>
        <w:ind w:left="5040" w:hanging="360"/>
      </w:pPr>
      <w:rPr>
        <w:rFonts w:ascii="Symbol" w:hAnsi="Symbol" w:hint="default"/>
      </w:rPr>
    </w:lvl>
    <w:lvl w:ilvl="7" w:tplc="0FAEDCC8" w:tentative="1">
      <w:start w:val="1"/>
      <w:numFmt w:val="bullet"/>
      <w:lvlText w:val="o"/>
      <w:lvlJc w:val="left"/>
      <w:pPr>
        <w:tabs>
          <w:tab w:val="num" w:pos="5760"/>
        </w:tabs>
        <w:ind w:left="5760" w:hanging="360"/>
      </w:pPr>
      <w:rPr>
        <w:rFonts w:ascii="Courier New" w:hAnsi="Courier New" w:cs="Arial Narrow" w:hint="default"/>
      </w:rPr>
    </w:lvl>
    <w:lvl w:ilvl="8" w:tplc="673CBE0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C92A0A"/>
    <w:multiLevelType w:val="hybridMultilevel"/>
    <w:tmpl w:val="18083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46A1E6C"/>
    <w:multiLevelType w:val="hybridMultilevel"/>
    <w:tmpl w:val="E2EAB562"/>
    <w:lvl w:ilvl="0" w:tplc="198EB38A">
      <w:numFmt w:val="bullet"/>
      <w:lvlText w:val="-"/>
      <w:lvlJc w:val="left"/>
      <w:pPr>
        <w:tabs>
          <w:tab w:val="num" w:pos="1065"/>
        </w:tabs>
        <w:ind w:left="1065" w:hanging="360"/>
      </w:pPr>
      <w:rPr>
        <w:rFonts w:ascii="Times New Roman" w:eastAsia="SimSun" w:hAnsi="Times New Roman" w:cs="Times New Roman" w:hint="default"/>
      </w:rPr>
    </w:lvl>
    <w:lvl w:ilvl="1" w:tplc="2A3A573A" w:tentative="1">
      <w:start w:val="1"/>
      <w:numFmt w:val="bullet"/>
      <w:lvlText w:val="o"/>
      <w:lvlJc w:val="left"/>
      <w:pPr>
        <w:tabs>
          <w:tab w:val="num" w:pos="1785"/>
        </w:tabs>
        <w:ind w:left="1785" w:hanging="360"/>
      </w:pPr>
      <w:rPr>
        <w:rFonts w:ascii="Courier New" w:hAnsi="Courier New" w:cs="Arial Narrow" w:hint="default"/>
      </w:rPr>
    </w:lvl>
    <w:lvl w:ilvl="2" w:tplc="A0402294" w:tentative="1">
      <w:start w:val="1"/>
      <w:numFmt w:val="bullet"/>
      <w:lvlText w:val=""/>
      <w:lvlJc w:val="left"/>
      <w:pPr>
        <w:tabs>
          <w:tab w:val="num" w:pos="2505"/>
        </w:tabs>
        <w:ind w:left="2505" w:hanging="360"/>
      </w:pPr>
      <w:rPr>
        <w:rFonts w:ascii="Wingdings" w:hAnsi="Wingdings" w:hint="default"/>
      </w:rPr>
    </w:lvl>
    <w:lvl w:ilvl="3" w:tplc="E108B520" w:tentative="1">
      <w:start w:val="1"/>
      <w:numFmt w:val="bullet"/>
      <w:lvlText w:val=""/>
      <w:lvlJc w:val="left"/>
      <w:pPr>
        <w:tabs>
          <w:tab w:val="num" w:pos="3225"/>
        </w:tabs>
        <w:ind w:left="3225" w:hanging="360"/>
      </w:pPr>
      <w:rPr>
        <w:rFonts w:ascii="Symbol" w:hAnsi="Symbol" w:hint="default"/>
      </w:rPr>
    </w:lvl>
    <w:lvl w:ilvl="4" w:tplc="3AAAE112" w:tentative="1">
      <w:start w:val="1"/>
      <w:numFmt w:val="bullet"/>
      <w:lvlText w:val="o"/>
      <w:lvlJc w:val="left"/>
      <w:pPr>
        <w:tabs>
          <w:tab w:val="num" w:pos="3945"/>
        </w:tabs>
        <w:ind w:left="3945" w:hanging="360"/>
      </w:pPr>
      <w:rPr>
        <w:rFonts w:ascii="Courier New" w:hAnsi="Courier New" w:cs="Arial Narrow" w:hint="default"/>
      </w:rPr>
    </w:lvl>
    <w:lvl w:ilvl="5" w:tplc="ED06BDE2" w:tentative="1">
      <w:start w:val="1"/>
      <w:numFmt w:val="bullet"/>
      <w:lvlText w:val=""/>
      <w:lvlJc w:val="left"/>
      <w:pPr>
        <w:tabs>
          <w:tab w:val="num" w:pos="4665"/>
        </w:tabs>
        <w:ind w:left="4665" w:hanging="360"/>
      </w:pPr>
      <w:rPr>
        <w:rFonts w:ascii="Wingdings" w:hAnsi="Wingdings" w:hint="default"/>
      </w:rPr>
    </w:lvl>
    <w:lvl w:ilvl="6" w:tplc="2660B152" w:tentative="1">
      <w:start w:val="1"/>
      <w:numFmt w:val="bullet"/>
      <w:lvlText w:val=""/>
      <w:lvlJc w:val="left"/>
      <w:pPr>
        <w:tabs>
          <w:tab w:val="num" w:pos="5385"/>
        </w:tabs>
        <w:ind w:left="5385" w:hanging="360"/>
      </w:pPr>
      <w:rPr>
        <w:rFonts w:ascii="Symbol" w:hAnsi="Symbol" w:hint="default"/>
      </w:rPr>
    </w:lvl>
    <w:lvl w:ilvl="7" w:tplc="0D722820" w:tentative="1">
      <w:start w:val="1"/>
      <w:numFmt w:val="bullet"/>
      <w:lvlText w:val="o"/>
      <w:lvlJc w:val="left"/>
      <w:pPr>
        <w:tabs>
          <w:tab w:val="num" w:pos="6105"/>
        </w:tabs>
        <w:ind w:left="6105" w:hanging="360"/>
      </w:pPr>
      <w:rPr>
        <w:rFonts w:ascii="Courier New" w:hAnsi="Courier New" w:cs="Arial Narrow" w:hint="default"/>
      </w:rPr>
    </w:lvl>
    <w:lvl w:ilvl="8" w:tplc="CFB874E4"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253A584F"/>
    <w:multiLevelType w:val="hybridMultilevel"/>
    <w:tmpl w:val="2DCC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3A65DD"/>
    <w:multiLevelType w:val="hybridMultilevel"/>
    <w:tmpl w:val="1E54D890"/>
    <w:lvl w:ilvl="0" w:tplc="00000000">
      <w:numFmt w:val="bullet"/>
      <w:lvlText w:val="-"/>
      <w:lvlJc w:val="left"/>
      <w:pPr>
        <w:ind w:left="1713" w:hanging="360"/>
      </w:pPr>
      <w:rPr>
        <w:rFonts w:ascii="Times" w:hAnsi="Times"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17" w15:restartNumberingAfterBreak="0">
    <w:nsid w:val="2CDE7ACC"/>
    <w:multiLevelType w:val="hybridMultilevel"/>
    <w:tmpl w:val="8B1AEAE0"/>
    <w:lvl w:ilvl="0" w:tplc="00000000">
      <w:numFmt w:val="bullet"/>
      <w:lvlText w:val="-"/>
      <w:lvlJc w:val="left"/>
      <w:pPr>
        <w:tabs>
          <w:tab w:val="num" w:pos="1620"/>
        </w:tabs>
        <w:ind w:left="1620" w:hanging="360"/>
      </w:pPr>
      <w:rPr>
        <w:rFonts w:ascii="Times" w:hAnsi="Times" w:hint="default"/>
      </w:rPr>
    </w:lvl>
    <w:lvl w:ilvl="1" w:tplc="04020003" w:tentative="1">
      <w:start w:val="1"/>
      <w:numFmt w:val="bullet"/>
      <w:lvlText w:val="o"/>
      <w:lvlJc w:val="left"/>
      <w:pPr>
        <w:ind w:left="2340" w:hanging="360"/>
      </w:pPr>
      <w:rPr>
        <w:rFonts w:ascii="Courier New" w:hAnsi="Courier New" w:cs="Courier New" w:hint="default"/>
      </w:rPr>
    </w:lvl>
    <w:lvl w:ilvl="2" w:tplc="04020005" w:tentative="1">
      <w:start w:val="1"/>
      <w:numFmt w:val="bullet"/>
      <w:lvlText w:val=""/>
      <w:lvlJc w:val="left"/>
      <w:pPr>
        <w:ind w:left="3060" w:hanging="360"/>
      </w:pPr>
      <w:rPr>
        <w:rFonts w:ascii="Wingdings" w:hAnsi="Wingdings" w:hint="default"/>
      </w:rPr>
    </w:lvl>
    <w:lvl w:ilvl="3" w:tplc="04020001" w:tentative="1">
      <w:start w:val="1"/>
      <w:numFmt w:val="bullet"/>
      <w:lvlText w:val=""/>
      <w:lvlJc w:val="left"/>
      <w:pPr>
        <w:ind w:left="3780" w:hanging="360"/>
      </w:pPr>
      <w:rPr>
        <w:rFonts w:ascii="Symbol" w:hAnsi="Symbol" w:hint="default"/>
      </w:rPr>
    </w:lvl>
    <w:lvl w:ilvl="4" w:tplc="04020003" w:tentative="1">
      <w:start w:val="1"/>
      <w:numFmt w:val="bullet"/>
      <w:lvlText w:val="o"/>
      <w:lvlJc w:val="left"/>
      <w:pPr>
        <w:ind w:left="4500" w:hanging="360"/>
      </w:pPr>
      <w:rPr>
        <w:rFonts w:ascii="Courier New" w:hAnsi="Courier New" w:cs="Courier New" w:hint="default"/>
      </w:rPr>
    </w:lvl>
    <w:lvl w:ilvl="5" w:tplc="04020005" w:tentative="1">
      <w:start w:val="1"/>
      <w:numFmt w:val="bullet"/>
      <w:lvlText w:val=""/>
      <w:lvlJc w:val="left"/>
      <w:pPr>
        <w:ind w:left="5220" w:hanging="360"/>
      </w:pPr>
      <w:rPr>
        <w:rFonts w:ascii="Wingdings" w:hAnsi="Wingdings" w:hint="default"/>
      </w:rPr>
    </w:lvl>
    <w:lvl w:ilvl="6" w:tplc="04020001" w:tentative="1">
      <w:start w:val="1"/>
      <w:numFmt w:val="bullet"/>
      <w:lvlText w:val=""/>
      <w:lvlJc w:val="left"/>
      <w:pPr>
        <w:ind w:left="5940" w:hanging="360"/>
      </w:pPr>
      <w:rPr>
        <w:rFonts w:ascii="Symbol" w:hAnsi="Symbol" w:hint="default"/>
      </w:rPr>
    </w:lvl>
    <w:lvl w:ilvl="7" w:tplc="04020003" w:tentative="1">
      <w:start w:val="1"/>
      <w:numFmt w:val="bullet"/>
      <w:lvlText w:val="o"/>
      <w:lvlJc w:val="left"/>
      <w:pPr>
        <w:ind w:left="6660" w:hanging="360"/>
      </w:pPr>
      <w:rPr>
        <w:rFonts w:ascii="Courier New" w:hAnsi="Courier New" w:cs="Courier New" w:hint="default"/>
      </w:rPr>
    </w:lvl>
    <w:lvl w:ilvl="8" w:tplc="04020005" w:tentative="1">
      <w:start w:val="1"/>
      <w:numFmt w:val="bullet"/>
      <w:lvlText w:val=""/>
      <w:lvlJc w:val="left"/>
      <w:pPr>
        <w:ind w:left="7380" w:hanging="360"/>
      </w:pPr>
      <w:rPr>
        <w:rFonts w:ascii="Wingdings" w:hAnsi="Wingdings" w:hint="default"/>
      </w:rPr>
    </w:lvl>
  </w:abstractNum>
  <w:abstractNum w:abstractNumId="18" w15:restartNumberingAfterBreak="0">
    <w:nsid w:val="2E0E7C78"/>
    <w:multiLevelType w:val="hybridMultilevel"/>
    <w:tmpl w:val="D87ED92A"/>
    <w:lvl w:ilvl="0" w:tplc="00000000">
      <w:numFmt w:val="bullet"/>
      <w:lvlText w:val="-"/>
      <w:lvlJc w:val="left"/>
      <w:pPr>
        <w:ind w:left="1428" w:hanging="360"/>
      </w:pPr>
      <w:rPr>
        <w:rFonts w:ascii="Times" w:hAnsi="Time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33710FC"/>
    <w:multiLevelType w:val="hybridMultilevel"/>
    <w:tmpl w:val="73DADC72"/>
    <w:lvl w:ilvl="0" w:tplc="00000000">
      <w:numFmt w:val="bullet"/>
      <w:lvlText w:val="-"/>
      <w:lvlJc w:val="left"/>
      <w:pPr>
        <w:ind w:left="1428" w:hanging="360"/>
      </w:pPr>
      <w:rPr>
        <w:rFonts w:ascii="Times" w:hAnsi="Times"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0" w15:restartNumberingAfterBreak="0">
    <w:nsid w:val="339D5B74"/>
    <w:multiLevelType w:val="hybridMultilevel"/>
    <w:tmpl w:val="5336C6F8"/>
    <w:lvl w:ilvl="0" w:tplc="38C65718">
      <w:start w:val="1"/>
      <w:numFmt w:val="decimal"/>
      <w:lvlText w:val="%1."/>
      <w:lvlJc w:val="left"/>
      <w:pPr>
        <w:ind w:left="945" w:hanging="94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1" w15:restartNumberingAfterBreak="0">
    <w:nsid w:val="45313D55"/>
    <w:multiLevelType w:val="hybridMultilevel"/>
    <w:tmpl w:val="6E3EBBF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2" w15:restartNumberingAfterBreak="0">
    <w:nsid w:val="479321AB"/>
    <w:multiLevelType w:val="hybridMultilevel"/>
    <w:tmpl w:val="CCAC847A"/>
    <w:lvl w:ilvl="0" w:tplc="00000000">
      <w:numFmt w:val="bullet"/>
      <w:lvlText w:val="-"/>
      <w:lvlJc w:val="left"/>
      <w:pPr>
        <w:ind w:left="1428" w:hanging="360"/>
      </w:pPr>
      <w:rPr>
        <w:rFonts w:ascii="Times" w:hAnsi="Time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3" w15:restartNumberingAfterBreak="0">
    <w:nsid w:val="49BA29A0"/>
    <w:multiLevelType w:val="hybridMultilevel"/>
    <w:tmpl w:val="0EF65A4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D324259"/>
    <w:multiLevelType w:val="singleLevel"/>
    <w:tmpl w:val="0409000F"/>
    <w:lvl w:ilvl="0">
      <w:start w:val="1"/>
      <w:numFmt w:val="decimal"/>
      <w:lvlText w:val="%1."/>
      <w:lvlJc w:val="left"/>
      <w:pPr>
        <w:tabs>
          <w:tab w:val="num" w:pos="360"/>
        </w:tabs>
        <w:ind w:left="360" w:hanging="360"/>
      </w:pPr>
      <w:rPr>
        <w:rFonts w:hint="default"/>
      </w:rPr>
    </w:lvl>
  </w:abstractNum>
  <w:abstractNum w:abstractNumId="25" w15:restartNumberingAfterBreak="0">
    <w:nsid w:val="54046933"/>
    <w:multiLevelType w:val="hybridMultilevel"/>
    <w:tmpl w:val="293897EE"/>
    <w:lvl w:ilvl="0" w:tplc="00000000">
      <w:numFmt w:val="bullet"/>
      <w:lvlText w:val="-"/>
      <w:lvlJc w:val="left"/>
      <w:pPr>
        <w:ind w:left="1620" w:hanging="360"/>
      </w:pPr>
      <w:rPr>
        <w:rFonts w:ascii="Times" w:hAnsi="Times" w:hint="default"/>
      </w:rPr>
    </w:lvl>
    <w:lvl w:ilvl="1" w:tplc="04020003" w:tentative="1">
      <w:start w:val="1"/>
      <w:numFmt w:val="bullet"/>
      <w:lvlText w:val="o"/>
      <w:lvlJc w:val="left"/>
      <w:pPr>
        <w:ind w:left="2340" w:hanging="360"/>
      </w:pPr>
      <w:rPr>
        <w:rFonts w:ascii="Courier New" w:hAnsi="Courier New" w:cs="Courier New" w:hint="default"/>
      </w:rPr>
    </w:lvl>
    <w:lvl w:ilvl="2" w:tplc="04020005">
      <w:start w:val="1"/>
      <w:numFmt w:val="bullet"/>
      <w:lvlText w:val=""/>
      <w:lvlJc w:val="left"/>
      <w:pPr>
        <w:ind w:left="3060" w:hanging="360"/>
      </w:pPr>
      <w:rPr>
        <w:rFonts w:ascii="Wingdings" w:hAnsi="Wingdings" w:hint="default"/>
      </w:rPr>
    </w:lvl>
    <w:lvl w:ilvl="3" w:tplc="04020001" w:tentative="1">
      <w:start w:val="1"/>
      <w:numFmt w:val="bullet"/>
      <w:lvlText w:val=""/>
      <w:lvlJc w:val="left"/>
      <w:pPr>
        <w:ind w:left="3780" w:hanging="360"/>
      </w:pPr>
      <w:rPr>
        <w:rFonts w:ascii="Symbol" w:hAnsi="Symbol" w:hint="default"/>
      </w:rPr>
    </w:lvl>
    <w:lvl w:ilvl="4" w:tplc="04020003" w:tentative="1">
      <w:start w:val="1"/>
      <w:numFmt w:val="bullet"/>
      <w:lvlText w:val="o"/>
      <w:lvlJc w:val="left"/>
      <w:pPr>
        <w:ind w:left="4500" w:hanging="360"/>
      </w:pPr>
      <w:rPr>
        <w:rFonts w:ascii="Courier New" w:hAnsi="Courier New" w:cs="Courier New" w:hint="default"/>
      </w:rPr>
    </w:lvl>
    <w:lvl w:ilvl="5" w:tplc="04020005" w:tentative="1">
      <w:start w:val="1"/>
      <w:numFmt w:val="bullet"/>
      <w:lvlText w:val=""/>
      <w:lvlJc w:val="left"/>
      <w:pPr>
        <w:ind w:left="5220" w:hanging="360"/>
      </w:pPr>
      <w:rPr>
        <w:rFonts w:ascii="Wingdings" w:hAnsi="Wingdings" w:hint="default"/>
      </w:rPr>
    </w:lvl>
    <w:lvl w:ilvl="6" w:tplc="04020001" w:tentative="1">
      <w:start w:val="1"/>
      <w:numFmt w:val="bullet"/>
      <w:lvlText w:val=""/>
      <w:lvlJc w:val="left"/>
      <w:pPr>
        <w:ind w:left="5940" w:hanging="360"/>
      </w:pPr>
      <w:rPr>
        <w:rFonts w:ascii="Symbol" w:hAnsi="Symbol" w:hint="default"/>
      </w:rPr>
    </w:lvl>
    <w:lvl w:ilvl="7" w:tplc="04020003" w:tentative="1">
      <w:start w:val="1"/>
      <w:numFmt w:val="bullet"/>
      <w:lvlText w:val="o"/>
      <w:lvlJc w:val="left"/>
      <w:pPr>
        <w:ind w:left="6660" w:hanging="360"/>
      </w:pPr>
      <w:rPr>
        <w:rFonts w:ascii="Courier New" w:hAnsi="Courier New" w:cs="Courier New" w:hint="default"/>
      </w:rPr>
    </w:lvl>
    <w:lvl w:ilvl="8" w:tplc="04020005" w:tentative="1">
      <w:start w:val="1"/>
      <w:numFmt w:val="bullet"/>
      <w:lvlText w:val=""/>
      <w:lvlJc w:val="left"/>
      <w:pPr>
        <w:ind w:left="7380" w:hanging="360"/>
      </w:pPr>
      <w:rPr>
        <w:rFonts w:ascii="Wingdings" w:hAnsi="Wingdings" w:hint="default"/>
      </w:rPr>
    </w:lvl>
  </w:abstractNum>
  <w:abstractNum w:abstractNumId="26" w15:restartNumberingAfterBreak="0">
    <w:nsid w:val="54772787"/>
    <w:multiLevelType w:val="multilevel"/>
    <w:tmpl w:val="F4040442"/>
    <w:lvl w:ilvl="0">
      <w:numFmt w:val="bullet"/>
      <w:lvlText w:val="-"/>
      <w:lvlJc w:val="left"/>
      <w:pPr>
        <w:ind w:left="1620" w:hanging="360"/>
      </w:pPr>
      <w:rPr>
        <w:rFonts w:ascii="Times New Roman" w:eastAsia="SimSun" w:hAnsi="Times New Roman" w:cs="Times New Roman" w:hint="default"/>
      </w:rPr>
    </w:lvl>
    <w:lvl w:ilvl="1">
      <w:start w:val="1"/>
      <w:numFmt w:val="bullet"/>
      <w:lvlText w:val="o"/>
      <w:lvlJc w:val="left"/>
      <w:pPr>
        <w:ind w:left="2340" w:hanging="360"/>
      </w:pPr>
      <w:rPr>
        <w:rFonts w:ascii="Courier New" w:hAnsi="Courier New" w:cs="Courier New" w:hint="default"/>
      </w:rPr>
    </w:lvl>
    <w:lvl w:ilvl="2">
      <w:start w:val="1"/>
      <w:numFmt w:val="bullet"/>
      <w:lvlText w:val=""/>
      <w:lvlJc w:val="left"/>
      <w:pPr>
        <w:ind w:left="3060" w:hanging="360"/>
      </w:pPr>
      <w:rPr>
        <w:rFonts w:ascii="Wingdings" w:hAnsi="Wingdings" w:hint="default"/>
      </w:rPr>
    </w:lvl>
    <w:lvl w:ilvl="3">
      <w:start w:val="1"/>
      <w:numFmt w:val="bullet"/>
      <w:lvlText w:val=""/>
      <w:lvlJc w:val="left"/>
      <w:pPr>
        <w:ind w:left="3780" w:hanging="360"/>
      </w:pPr>
      <w:rPr>
        <w:rFonts w:ascii="Symbol" w:hAnsi="Symbol" w:hint="default"/>
      </w:rPr>
    </w:lvl>
    <w:lvl w:ilvl="4">
      <w:start w:val="1"/>
      <w:numFmt w:val="bullet"/>
      <w:lvlText w:val="o"/>
      <w:lvlJc w:val="left"/>
      <w:pPr>
        <w:ind w:left="4500" w:hanging="360"/>
      </w:pPr>
      <w:rPr>
        <w:rFonts w:ascii="Courier New" w:hAnsi="Courier New" w:cs="Courier New" w:hint="default"/>
      </w:rPr>
    </w:lvl>
    <w:lvl w:ilvl="5">
      <w:start w:val="1"/>
      <w:numFmt w:val="bullet"/>
      <w:lvlText w:val=""/>
      <w:lvlJc w:val="left"/>
      <w:pPr>
        <w:ind w:left="5220" w:hanging="360"/>
      </w:pPr>
      <w:rPr>
        <w:rFonts w:ascii="Wingdings" w:hAnsi="Wingdings" w:hint="default"/>
      </w:rPr>
    </w:lvl>
    <w:lvl w:ilvl="6">
      <w:start w:val="1"/>
      <w:numFmt w:val="bullet"/>
      <w:lvlText w:val=""/>
      <w:lvlJc w:val="left"/>
      <w:pPr>
        <w:ind w:left="5940" w:hanging="360"/>
      </w:pPr>
      <w:rPr>
        <w:rFonts w:ascii="Symbol" w:hAnsi="Symbol" w:hint="default"/>
      </w:rPr>
    </w:lvl>
    <w:lvl w:ilvl="7">
      <w:start w:val="1"/>
      <w:numFmt w:val="bullet"/>
      <w:lvlText w:val="o"/>
      <w:lvlJc w:val="left"/>
      <w:pPr>
        <w:ind w:left="6660" w:hanging="360"/>
      </w:pPr>
      <w:rPr>
        <w:rFonts w:ascii="Courier New" w:hAnsi="Courier New" w:cs="Courier New" w:hint="default"/>
      </w:rPr>
    </w:lvl>
    <w:lvl w:ilvl="8">
      <w:start w:val="1"/>
      <w:numFmt w:val="bullet"/>
      <w:lvlText w:val=""/>
      <w:lvlJc w:val="left"/>
      <w:pPr>
        <w:ind w:left="7380" w:hanging="360"/>
      </w:pPr>
      <w:rPr>
        <w:rFonts w:ascii="Wingdings" w:hAnsi="Wingdings" w:hint="default"/>
      </w:rPr>
    </w:lvl>
  </w:abstractNum>
  <w:abstractNum w:abstractNumId="27" w15:restartNumberingAfterBreak="0">
    <w:nsid w:val="55462530"/>
    <w:multiLevelType w:val="singleLevel"/>
    <w:tmpl w:val="AF8648BC"/>
    <w:lvl w:ilvl="0">
      <w:start w:val="1"/>
      <w:numFmt w:val="decimal"/>
      <w:lvlText w:val="%1."/>
      <w:lvlJc w:val="left"/>
      <w:pPr>
        <w:tabs>
          <w:tab w:val="num" w:pos="1068"/>
        </w:tabs>
        <w:ind w:left="1068" w:hanging="360"/>
      </w:pPr>
      <w:rPr>
        <w:rFonts w:hint="default"/>
      </w:rPr>
    </w:lvl>
  </w:abstractNum>
  <w:abstractNum w:abstractNumId="28" w15:restartNumberingAfterBreak="0">
    <w:nsid w:val="5B5A4616"/>
    <w:multiLevelType w:val="multilevel"/>
    <w:tmpl w:val="94866874"/>
    <w:lvl w:ilvl="0">
      <w:numFmt w:val="bullet"/>
      <w:lvlText w:val="-"/>
      <w:lvlJc w:val="left"/>
      <w:pPr>
        <w:tabs>
          <w:tab w:val="num" w:pos="1065"/>
        </w:tabs>
        <w:ind w:left="1065" w:hanging="360"/>
      </w:pPr>
      <w:rPr>
        <w:rFonts w:ascii="Times New Roman" w:eastAsia="SimSun" w:hAnsi="Times New Roman" w:cs="Times New Roman" w:hint="default"/>
      </w:rPr>
    </w:lvl>
    <w:lvl w:ilvl="1">
      <w:start w:val="1"/>
      <w:numFmt w:val="bullet"/>
      <w:lvlText w:val="o"/>
      <w:lvlJc w:val="left"/>
      <w:pPr>
        <w:tabs>
          <w:tab w:val="num" w:pos="1785"/>
        </w:tabs>
        <w:ind w:left="1785" w:hanging="360"/>
      </w:pPr>
      <w:rPr>
        <w:rFonts w:ascii="Courier New" w:hAnsi="Courier New" w:cs="Arial Narro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Arial Narro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Arial Narrow" w:hint="default"/>
      </w:rPr>
    </w:lvl>
    <w:lvl w:ilvl="8">
      <w:start w:val="1"/>
      <w:numFmt w:val="bullet"/>
      <w:lvlText w:val=""/>
      <w:lvlJc w:val="left"/>
      <w:pPr>
        <w:tabs>
          <w:tab w:val="num" w:pos="6825"/>
        </w:tabs>
        <w:ind w:left="6825" w:hanging="360"/>
      </w:pPr>
      <w:rPr>
        <w:rFonts w:ascii="Wingdings" w:hAnsi="Wingdings" w:hint="default"/>
      </w:rPr>
    </w:lvl>
  </w:abstractNum>
  <w:abstractNum w:abstractNumId="29" w15:restartNumberingAfterBreak="0">
    <w:nsid w:val="5F227143"/>
    <w:multiLevelType w:val="hybridMultilevel"/>
    <w:tmpl w:val="44087A28"/>
    <w:lvl w:ilvl="0" w:tplc="24866E2A">
      <w:numFmt w:val="bullet"/>
      <w:lvlText w:val=""/>
      <w:lvlJc w:val="left"/>
      <w:pPr>
        <w:tabs>
          <w:tab w:val="num" w:pos="720"/>
        </w:tabs>
        <w:ind w:left="720" w:hanging="360"/>
      </w:pPr>
      <w:rPr>
        <w:rFonts w:ascii="Symbol" w:eastAsia="SimSun" w:hAnsi="Symbol" w:cs="Times New Roman" w:hint="default"/>
      </w:rPr>
    </w:lvl>
    <w:lvl w:ilvl="1" w:tplc="98AA5B38" w:tentative="1">
      <w:start w:val="1"/>
      <w:numFmt w:val="bullet"/>
      <w:lvlText w:val="o"/>
      <w:lvlJc w:val="left"/>
      <w:pPr>
        <w:tabs>
          <w:tab w:val="num" w:pos="1440"/>
        </w:tabs>
        <w:ind w:left="1440" w:hanging="360"/>
      </w:pPr>
      <w:rPr>
        <w:rFonts w:ascii="Courier New" w:hAnsi="Courier New" w:cs="Arial Narrow" w:hint="default"/>
      </w:rPr>
    </w:lvl>
    <w:lvl w:ilvl="2" w:tplc="10FE1EF0" w:tentative="1">
      <w:start w:val="1"/>
      <w:numFmt w:val="bullet"/>
      <w:lvlText w:val=""/>
      <w:lvlJc w:val="left"/>
      <w:pPr>
        <w:tabs>
          <w:tab w:val="num" w:pos="2160"/>
        </w:tabs>
        <w:ind w:left="2160" w:hanging="360"/>
      </w:pPr>
      <w:rPr>
        <w:rFonts w:ascii="Wingdings" w:hAnsi="Wingdings" w:hint="default"/>
      </w:rPr>
    </w:lvl>
    <w:lvl w:ilvl="3" w:tplc="6602C576" w:tentative="1">
      <w:start w:val="1"/>
      <w:numFmt w:val="bullet"/>
      <w:lvlText w:val=""/>
      <w:lvlJc w:val="left"/>
      <w:pPr>
        <w:tabs>
          <w:tab w:val="num" w:pos="2880"/>
        </w:tabs>
        <w:ind w:left="2880" w:hanging="360"/>
      </w:pPr>
      <w:rPr>
        <w:rFonts w:ascii="Symbol" w:hAnsi="Symbol" w:hint="default"/>
      </w:rPr>
    </w:lvl>
    <w:lvl w:ilvl="4" w:tplc="DCCAE5A0" w:tentative="1">
      <w:start w:val="1"/>
      <w:numFmt w:val="bullet"/>
      <w:lvlText w:val="o"/>
      <w:lvlJc w:val="left"/>
      <w:pPr>
        <w:tabs>
          <w:tab w:val="num" w:pos="3600"/>
        </w:tabs>
        <w:ind w:left="3600" w:hanging="360"/>
      </w:pPr>
      <w:rPr>
        <w:rFonts w:ascii="Courier New" w:hAnsi="Courier New" w:cs="Arial Narrow" w:hint="default"/>
      </w:rPr>
    </w:lvl>
    <w:lvl w:ilvl="5" w:tplc="D0863F9C" w:tentative="1">
      <w:start w:val="1"/>
      <w:numFmt w:val="bullet"/>
      <w:lvlText w:val=""/>
      <w:lvlJc w:val="left"/>
      <w:pPr>
        <w:tabs>
          <w:tab w:val="num" w:pos="4320"/>
        </w:tabs>
        <w:ind w:left="4320" w:hanging="360"/>
      </w:pPr>
      <w:rPr>
        <w:rFonts w:ascii="Wingdings" w:hAnsi="Wingdings" w:hint="default"/>
      </w:rPr>
    </w:lvl>
    <w:lvl w:ilvl="6" w:tplc="B8588B86" w:tentative="1">
      <w:start w:val="1"/>
      <w:numFmt w:val="bullet"/>
      <w:lvlText w:val=""/>
      <w:lvlJc w:val="left"/>
      <w:pPr>
        <w:tabs>
          <w:tab w:val="num" w:pos="5040"/>
        </w:tabs>
        <w:ind w:left="5040" w:hanging="360"/>
      </w:pPr>
      <w:rPr>
        <w:rFonts w:ascii="Symbol" w:hAnsi="Symbol" w:hint="default"/>
      </w:rPr>
    </w:lvl>
    <w:lvl w:ilvl="7" w:tplc="3CC6E836" w:tentative="1">
      <w:start w:val="1"/>
      <w:numFmt w:val="bullet"/>
      <w:lvlText w:val="o"/>
      <w:lvlJc w:val="left"/>
      <w:pPr>
        <w:tabs>
          <w:tab w:val="num" w:pos="5760"/>
        </w:tabs>
        <w:ind w:left="5760" w:hanging="360"/>
      </w:pPr>
      <w:rPr>
        <w:rFonts w:ascii="Courier New" w:hAnsi="Courier New" w:cs="Arial Narrow" w:hint="default"/>
      </w:rPr>
    </w:lvl>
    <w:lvl w:ilvl="8" w:tplc="F5EA91E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176082"/>
    <w:multiLevelType w:val="hybridMultilevel"/>
    <w:tmpl w:val="53A428A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1" w15:restartNumberingAfterBreak="0">
    <w:nsid w:val="670B5796"/>
    <w:multiLevelType w:val="singleLevel"/>
    <w:tmpl w:val="0409000F"/>
    <w:lvl w:ilvl="0">
      <w:start w:val="1"/>
      <w:numFmt w:val="decimal"/>
      <w:lvlText w:val="%1."/>
      <w:lvlJc w:val="left"/>
      <w:pPr>
        <w:tabs>
          <w:tab w:val="num" w:pos="360"/>
        </w:tabs>
        <w:ind w:left="360" w:hanging="360"/>
      </w:pPr>
      <w:rPr>
        <w:rFonts w:hint="default"/>
      </w:rPr>
    </w:lvl>
  </w:abstractNum>
  <w:abstractNum w:abstractNumId="32" w15:restartNumberingAfterBreak="0">
    <w:nsid w:val="68991313"/>
    <w:multiLevelType w:val="hybridMultilevel"/>
    <w:tmpl w:val="F4040442"/>
    <w:lvl w:ilvl="0" w:tplc="AD0E8AC4">
      <w:numFmt w:val="bullet"/>
      <w:lvlText w:val="-"/>
      <w:lvlJc w:val="left"/>
      <w:pPr>
        <w:ind w:left="1620" w:hanging="360"/>
      </w:pPr>
      <w:rPr>
        <w:rFonts w:ascii="Times New Roman" w:eastAsia="SimSun" w:hAnsi="Times New Roman" w:cs="Times New Roman" w:hint="default"/>
      </w:rPr>
    </w:lvl>
    <w:lvl w:ilvl="1" w:tplc="04020003" w:tentative="1">
      <w:start w:val="1"/>
      <w:numFmt w:val="bullet"/>
      <w:lvlText w:val="o"/>
      <w:lvlJc w:val="left"/>
      <w:pPr>
        <w:ind w:left="2340" w:hanging="360"/>
      </w:pPr>
      <w:rPr>
        <w:rFonts w:ascii="Courier New" w:hAnsi="Courier New" w:cs="Courier New" w:hint="default"/>
      </w:rPr>
    </w:lvl>
    <w:lvl w:ilvl="2" w:tplc="04020005" w:tentative="1">
      <w:start w:val="1"/>
      <w:numFmt w:val="bullet"/>
      <w:lvlText w:val=""/>
      <w:lvlJc w:val="left"/>
      <w:pPr>
        <w:ind w:left="3060" w:hanging="360"/>
      </w:pPr>
      <w:rPr>
        <w:rFonts w:ascii="Wingdings" w:hAnsi="Wingdings" w:hint="default"/>
      </w:rPr>
    </w:lvl>
    <w:lvl w:ilvl="3" w:tplc="04020001" w:tentative="1">
      <w:start w:val="1"/>
      <w:numFmt w:val="bullet"/>
      <w:lvlText w:val=""/>
      <w:lvlJc w:val="left"/>
      <w:pPr>
        <w:ind w:left="3780" w:hanging="360"/>
      </w:pPr>
      <w:rPr>
        <w:rFonts w:ascii="Symbol" w:hAnsi="Symbol" w:hint="default"/>
      </w:rPr>
    </w:lvl>
    <w:lvl w:ilvl="4" w:tplc="04020003" w:tentative="1">
      <w:start w:val="1"/>
      <w:numFmt w:val="bullet"/>
      <w:lvlText w:val="o"/>
      <w:lvlJc w:val="left"/>
      <w:pPr>
        <w:ind w:left="4500" w:hanging="360"/>
      </w:pPr>
      <w:rPr>
        <w:rFonts w:ascii="Courier New" w:hAnsi="Courier New" w:cs="Courier New" w:hint="default"/>
      </w:rPr>
    </w:lvl>
    <w:lvl w:ilvl="5" w:tplc="04020005" w:tentative="1">
      <w:start w:val="1"/>
      <w:numFmt w:val="bullet"/>
      <w:lvlText w:val=""/>
      <w:lvlJc w:val="left"/>
      <w:pPr>
        <w:ind w:left="5220" w:hanging="360"/>
      </w:pPr>
      <w:rPr>
        <w:rFonts w:ascii="Wingdings" w:hAnsi="Wingdings" w:hint="default"/>
      </w:rPr>
    </w:lvl>
    <w:lvl w:ilvl="6" w:tplc="04020001" w:tentative="1">
      <w:start w:val="1"/>
      <w:numFmt w:val="bullet"/>
      <w:lvlText w:val=""/>
      <w:lvlJc w:val="left"/>
      <w:pPr>
        <w:ind w:left="5940" w:hanging="360"/>
      </w:pPr>
      <w:rPr>
        <w:rFonts w:ascii="Symbol" w:hAnsi="Symbol" w:hint="default"/>
      </w:rPr>
    </w:lvl>
    <w:lvl w:ilvl="7" w:tplc="04020003" w:tentative="1">
      <w:start w:val="1"/>
      <w:numFmt w:val="bullet"/>
      <w:lvlText w:val="o"/>
      <w:lvlJc w:val="left"/>
      <w:pPr>
        <w:ind w:left="6660" w:hanging="360"/>
      </w:pPr>
      <w:rPr>
        <w:rFonts w:ascii="Courier New" w:hAnsi="Courier New" w:cs="Courier New" w:hint="default"/>
      </w:rPr>
    </w:lvl>
    <w:lvl w:ilvl="8" w:tplc="04020005" w:tentative="1">
      <w:start w:val="1"/>
      <w:numFmt w:val="bullet"/>
      <w:lvlText w:val=""/>
      <w:lvlJc w:val="left"/>
      <w:pPr>
        <w:ind w:left="7380" w:hanging="360"/>
      </w:pPr>
      <w:rPr>
        <w:rFonts w:ascii="Wingdings" w:hAnsi="Wingdings" w:hint="default"/>
      </w:rPr>
    </w:lvl>
  </w:abstractNum>
  <w:abstractNum w:abstractNumId="33" w15:restartNumberingAfterBreak="0">
    <w:nsid w:val="69F22FF9"/>
    <w:multiLevelType w:val="hybridMultilevel"/>
    <w:tmpl w:val="2752F586"/>
    <w:lvl w:ilvl="0" w:tplc="04020001">
      <w:start w:val="1"/>
      <w:numFmt w:val="bullet"/>
      <w:lvlText w:val=""/>
      <w:lvlJc w:val="left"/>
      <w:pPr>
        <w:ind w:left="1500" w:hanging="360"/>
      </w:pPr>
      <w:rPr>
        <w:rFonts w:ascii="Symbol" w:hAnsi="Symbol" w:hint="default"/>
      </w:rPr>
    </w:lvl>
    <w:lvl w:ilvl="1" w:tplc="04020003" w:tentative="1">
      <w:start w:val="1"/>
      <w:numFmt w:val="bullet"/>
      <w:lvlText w:val="o"/>
      <w:lvlJc w:val="left"/>
      <w:pPr>
        <w:ind w:left="2220" w:hanging="360"/>
      </w:pPr>
      <w:rPr>
        <w:rFonts w:ascii="Courier New" w:hAnsi="Courier New" w:cs="Courier New" w:hint="default"/>
      </w:rPr>
    </w:lvl>
    <w:lvl w:ilvl="2" w:tplc="04020005" w:tentative="1">
      <w:start w:val="1"/>
      <w:numFmt w:val="bullet"/>
      <w:lvlText w:val=""/>
      <w:lvlJc w:val="left"/>
      <w:pPr>
        <w:ind w:left="2940" w:hanging="360"/>
      </w:pPr>
      <w:rPr>
        <w:rFonts w:ascii="Wingdings" w:hAnsi="Wingdings" w:hint="default"/>
      </w:rPr>
    </w:lvl>
    <w:lvl w:ilvl="3" w:tplc="04020001" w:tentative="1">
      <w:start w:val="1"/>
      <w:numFmt w:val="bullet"/>
      <w:lvlText w:val=""/>
      <w:lvlJc w:val="left"/>
      <w:pPr>
        <w:ind w:left="3660" w:hanging="360"/>
      </w:pPr>
      <w:rPr>
        <w:rFonts w:ascii="Symbol" w:hAnsi="Symbol" w:hint="default"/>
      </w:rPr>
    </w:lvl>
    <w:lvl w:ilvl="4" w:tplc="04020003" w:tentative="1">
      <w:start w:val="1"/>
      <w:numFmt w:val="bullet"/>
      <w:lvlText w:val="o"/>
      <w:lvlJc w:val="left"/>
      <w:pPr>
        <w:ind w:left="4380" w:hanging="360"/>
      </w:pPr>
      <w:rPr>
        <w:rFonts w:ascii="Courier New" w:hAnsi="Courier New" w:cs="Courier New" w:hint="default"/>
      </w:rPr>
    </w:lvl>
    <w:lvl w:ilvl="5" w:tplc="04020005" w:tentative="1">
      <w:start w:val="1"/>
      <w:numFmt w:val="bullet"/>
      <w:lvlText w:val=""/>
      <w:lvlJc w:val="left"/>
      <w:pPr>
        <w:ind w:left="5100" w:hanging="360"/>
      </w:pPr>
      <w:rPr>
        <w:rFonts w:ascii="Wingdings" w:hAnsi="Wingdings" w:hint="default"/>
      </w:rPr>
    </w:lvl>
    <w:lvl w:ilvl="6" w:tplc="04020001" w:tentative="1">
      <w:start w:val="1"/>
      <w:numFmt w:val="bullet"/>
      <w:lvlText w:val=""/>
      <w:lvlJc w:val="left"/>
      <w:pPr>
        <w:ind w:left="5820" w:hanging="360"/>
      </w:pPr>
      <w:rPr>
        <w:rFonts w:ascii="Symbol" w:hAnsi="Symbol" w:hint="default"/>
      </w:rPr>
    </w:lvl>
    <w:lvl w:ilvl="7" w:tplc="04020003" w:tentative="1">
      <w:start w:val="1"/>
      <w:numFmt w:val="bullet"/>
      <w:lvlText w:val="o"/>
      <w:lvlJc w:val="left"/>
      <w:pPr>
        <w:ind w:left="6540" w:hanging="360"/>
      </w:pPr>
      <w:rPr>
        <w:rFonts w:ascii="Courier New" w:hAnsi="Courier New" w:cs="Courier New" w:hint="default"/>
      </w:rPr>
    </w:lvl>
    <w:lvl w:ilvl="8" w:tplc="04020005" w:tentative="1">
      <w:start w:val="1"/>
      <w:numFmt w:val="bullet"/>
      <w:lvlText w:val=""/>
      <w:lvlJc w:val="left"/>
      <w:pPr>
        <w:ind w:left="7260" w:hanging="360"/>
      </w:pPr>
      <w:rPr>
        <w:rFonts w:ascii="Wingdings" w:hAnsi="Wingdings" w:hint="default"/>
      </w:rPr>
    </w:lvl>
  </w:abstractNum>
  <w:abstractNum w:abstractNumId="34" w15:restartNumberingAfterBreak="0">
    <w:nsid w:val="6B48697D"/>
    <w:multiLevelType w:val="hybridMultilevel"/>
    <w:tmpl w:val="14B61316"/>
    <w:lvl w:ilvl="0" w:tplc="7DC45B2C">
      <w:numFmt w:val="bullet"/>
      <w:lvlText w:val="-"/>
      <w:lvlJc w:val="left"/>
      <w:pPr>
        <w:ind w:left="1950" w:hanging="1050"/>
      </w:pPr>
      <w:rPr>
        <w:rFonts w:ascii="Times New Roman" w:eastAsia="SimSun" w:hAnsi="Times New Roman" w:cs="Times New Roman" w:hint="default"/>
      </w:rPr>
    </w:lvl>
    <w:lvl w:ilvl="1" w:tplc="04020003" w:tentative="1">
      <w:start w:val="1"/>
      <w:numFmt w:val="bullet"/>
      <w:lvlText w:val="o"/>
      <w:lvlJc w:val="left"/>
      <w:pPr>
        <w:ind w:left="1980" w:hanging="360"/>
      </w:pPr>
      <w:rPr>
        <w:rFonts w:ascii="Courier New" w:hAnsi="Courier New" w:cs="Courier New" w:hint="default"/>
      </w:rPr>
    </w:lvl>
    <w:lvl w:ilvl="2" w:tplc="04020005" w:tentative="1">
      <w:start w:val="1"/>
      <w:numFmt w:val="bullet"/>
      <w:lvlText w:val=""/>
      <w:lvlJc w:val="left"/>
      <w:pPr>
        <w:ind w:left="2700" w:hanging="360"/>
      </w:pPr>
      <w:rPr>
        <w:rFonts w:ascii="Wingdings" w:hAnsi="Wingdings" w:hint="default"/>
      </w:rPr>
    </w:lvl>
    <w:lvl w:ilvl="3" w:tplc="04020001" w:tentative="1">
      <w:start w:val="1"/>
      <w:numFmt w:val="bullet"/>
      <w:lvlText w:val=""/>
      <w:lvlJc w:val="left"/>
      <w:pPr>
        <w:ind w:left="3420" w:hanging="360"/>
      </w:pPr>
      <w:rPr>
        <w:rFonts w:ascii="Symbol" w:hAnsi="Symbol" w:hint="default"/>
      </w:rPr>
    </w:lvl>
    <w:lvl w:ilvl="4" w:tplc="04020003" w:tentative="1">
      <w:start w:val="1"/>
      <w:numFmt w:val="bullet"/>
      <w:lvlText w:val="o"/>
      <w:lvlJc w:val="left"/>
      <w:pPr>
        <w:ind w:left="4140" w:hanging="360"/>
      </w:pPr>
      <w:rPr>
        <w:rFonts w:ascii="Courier New" w:hAnsi="Courier New" w:cs="Courier New" w:hint="default"/>
      </w:rPr>
    </w:lvl>
    <w:lvl w:ilvl="5" w:tplc="04020005" w:tentative="1">
      <w:start w:val="1"/>
      <w:numFmt w:val="bullet"/>
      <w:lvlText w:val=""/>
      <w:lvlJc w:val="left"/>
      <w:pPr>
        <w:ind w:left="4860" w:hanging="360"/>
      </w:pPr>
      <w:rPr>
        <w:rFonts w:ascii="Wingdings" w:hAnsi="Wingdings" w:hint="default"/>
      </w:rPr>
    </w:lvl>
    <w:lvl w:ilvl="6" w:tplc="04020001" w:tentative="1">
      <w:start w:val="1"/>
      <w:numFmt w:val="bullet"/>
      <w:lvlText w:val=""/>
      <w:lvlJc w:val="left"/>
      <w:pPr>
        <w:ind w:left="5580" w:hanging="360"/>
      </w:pPr>
      <w:rPr>
        <w:rFonts w:ascii="Symbol" w:hAnsi="Symbol" w:hint="default"/>
      </w:rPr>
    </w:lvl>
    <w:lvl w:ilvl="7" w:tplc="04020003" w:tentative="1">
      <w:start w:val="1"/>
      <w:numFmt w:val="bullet"/>
      <w:lvlText w:val="o"/>
      <w:lvlJc w:val="left"/>
      <w:pPr>
        <w:ind w:left="6300" w:hanging="360"/>
      </w:pPr>
      <w:rPr>
        <w:rFonts w:ascii="Courier New" w:hAnsi="Courier New" w:cs="Courier New" w:hint="default"/>
      </w:rPr>
    </w:lvl>
    <w:lvl w:ilvl="8" w:tplc="04020005" w:tentative="1">
      <w:start w:val="1"/>
      <w:numFmt w:val="bullet"/>
      <w:lvlText w:val=""/>
      <w:lvlJc w:val="left"/>
      <w:pPr>
        <w:ind w:left="7020" w:hanging="360"/>
      </w:pPr>
      <w:rPr>
        <w:rFonts w:ascii="Wingdings" w:hAnsi="Wingdings" w:hint="default"/>
      </w:rPr>
    </w:lvl>
  </w:abstractNum>
  <w:abstractNum w:abstractNumId="35" w15:restartNumberingAfterBreak="0">
    <w:nsid w:val="72225115"/>
    <w:multiLevelType w:val="hybridMultilevel"/>
    <w:tmpl w:val="CCF0B3EC"/>
    <w:lvl w:ilvl="0" w:tplc="04020005">
      <w:start w:val="1"/>
      <w:numFmt w:val="bullet"/>
      <w:lvlText w:val=""/>
      <w:lvlJc w:val="left"/>
      <w:pPr>
        <w:tabs>
          <w:tab w:val="num" w:pos="1620"/>
        </w:tabs>
        <w:ind w:left="1620" w:hanging="360"/>
      </w:pPr>
      <w:rPr>
        <w:rFonts w:ascii="Wingdings" w:hAnsi="Wingdings" w:hint="default"/>
      </w:rPr>
    </w:lvl>
    <w:lvl w:ilvl="1" w:tplc="04020003" w:tentative="1">
      <w:start w:val="1"/>
      <w:numFmt w:val="bullet"/>
      <w:lvlText w:val="o"/>
      <w:lvlJc w:val="left"/>
      <w:pPr>
        <w:tabs>
          <w:tab w:val="num" w:pos="2340"/>
        </w:tabs>
        <w:ind w:left="2340" w:hanging="360"/>
      </w:pPr>
      <w:rPr>
        <w:rFonts w:ascii="Courier New" w:hAnsi="Courier New" w:cs="Courier New" w:hint="default"/>
      </w:rPr>
    </w:lvl>
    <w:lvl w:ilvl="2" w:tplc="04020005" w:tentative="1">
      <w:start w:val="1"/>
      <w:numFmt w:val="bullet"/>
      <w:lvlText w:val=""/>
      <w:lvlJc w:val="left"/>
      <w:pPr>
        <w:tabs>
          <w:tab w:val="num" w:pos="3060"/>
        </w:tabs>
        <w:ind w:left="3060" w:hanging="360"/>
      </w:pPr>
      <w:rPr>
        <w:rFonts w:ascii="Wingdings" w:hAnsi="Wingdings" w:hint="default"/>
      </w:rPr>
    </w:lvl>
    <w:lvl w:ilvl="3" w:tplc="04020001" w:tentative="1">
      <w:start w:val="1"/>
      <w:numFmt w:val="bullet"/>
      <w:lvlText w:val=""/>
      <w:lvlJc w:val="left"/>
      <w:pPr>
        <w:tabs>
          <w:tab w:val="num" w:pos="3780"/>
        </w:tabs>
        <w:ind w:left="3780" w:hanging="360"/>
      </w:pPr>
      <w:rPr>
        <w:rFonts w:ascii="Symbol" w:hAnsi="Symbol" w:hint="default"/>
      </w:rPr>
    </w:lvl>
    <w:lvl w:ilvl="4" w:tplc="04020003" w:tentative="1">
      <w:start w:val="1"/>
      <w:numFmt w:val="bullet"/>
      <w:lvlText w:val="o"/>
      <w:lvlJc w:val="left"/>
      <w:pPr>
        <w:tabs>
          <w:tab w:val="num" w:pos="4500"/>
        </w:tabs>
        <w:ind w:left="4500" w:hanging="360"/>
      </w:pPr>
      <w:rPr>
        <w:rFonts w:ascii="Courier New" w:hAnsi="Courier New" w:cs="Courier New" w:hint="default"/>
      </w:rPr>
    </w:lvl>
    <w:lvl w:ilvl="5" w:tplc="04020005" w:tentative="1">
      <w:start w:val="1"/>
      <w:numFmt w:val="bullet"/>
      <w:lvlText w:val=""/>
      <w:lvlJc w:val="left"/>
      <w:pPr>
        <w:tabs>
          <w:tab w:val="num" w:pos="5220"/>
        </w:tabs>
        <w:ind w:left="5220" w:hanging="360"/>
      </w:pPr>
      <w:rPr>
        <w:rFonts w:ascii="Wingdings" w:hAnsi="Wingdings" w:hint="default"/>
      </w:rPr>
    </w:lvl>
    <w:lvl w:ilvl="6" w:tplc="04020001" w:tentative="1">
      <w:start w:val="1"/>
      <w:numFmt w:val="bullet"/>
      <w:lvlText w:val=""/>
      <w:lvlJc w:val="left"/>
      <w:pPr>
        <w:tabs>
          <w:tab w:val="num" w:pos="5940"/>
        </w:tabs>
        <w:ind w:left="5940" w:hanging="360"/>
      </w:pPr>
      <w:rPr>
        <w:rFonts w:ascii="Symbol" w:hAnsi="Symbol" w:hint="default"/>
      </w:rPr>
    </w:lvl>
    <w:lvl w:ilvl="7" w:tplc="04020003" w:tentative="1">
      <w:start w:val="1"/>
      <w:numFmt w:val="bullet"/>
      <w:lvlText w:val="o"/>
      <w:lvlJc w:val="left"/>
      <w:pPr>
        <w:tabs>
          <w:tab w:val="num" w:pos="6660"/>
        </w:tabs>
        <w:ind w:left="6660" w:hanging="360"/>
      </w:pPr>
      <w:rPr>
        <w:rFonts w:ascii="Courier New" w:hAnsi="Courier New" w:cs="Courier New" w:hint="default"/>
      </w:rPr>
    </w:lvl>
    <w:lvl w:ilvl="8" w:tplc="04020005" w:tentative="1">
      <w:start w:val="1"/>
      <w:numFmt w:val="bullet"/>
      <w:lvlText w:val=""/>
      <w:lvlJc w:val="left"/>
      <w:pPr>
        <w:tabs>
          <w:tab w:val="num" w:pos="7380"/>
        </w:tabs>
        <w:ind w:left="7380" w:hanging="360"/>
      </w:pPr>
      <w:rPr>
        <w:rFonts w:ascii="Wingdings" w:hAnsi="Wingdings" w:hint="default"/>
      </w:rPr>
    </w:lvl>
  </w:abstractNum>
  <w:abstractNum w:abstractNumId="36" w15:restartNumberingAfterBreak="0">
    <w:nsid w:val="7CE64C2E"/>
    <w:multiLevelType w:val="hybridMultilevel"/>
    <w:tmpl w:val="907A1EF8"/>
    <w:lvl w:ilvl="0" w:tplc="00000000">
      <w:numFmt w:val="bullet"/>
      <w:lvlText w:val="-"/>
      <w:lvlJc w:val="left"/>
      <w:pPr>
        <w:ind w:left="1620" w:hanging="360"/>
      </w:pPr>
      <w:rPr>
        <w:rFonts w:ascii="Times New Roman" w:hAnsi="Times New Roman" w:hint="default"/>
      </w:rPr>
    </w:lvl>
    <w:lvl w:ilvl="1" w:tplc="04020003" w:tentative="1">
      <w:start w:val="1"/>
      <w:numFmt w:val="bullet"/>
      <w:lvlText w:val="o"/>
      <w:lvlJc w:val="left"/>
      <w:pPr>
        <w:ind w:left="2340" w:hanging="360"/>
      </w:pPr>
      <w:rPr>
        <w:rFonts w:ascii="Courier New" w:hAnsi="Courier New" w:cs="Courier New" w:hint="default"/>
      </w:rPr>
    </w:lvl>
    <w:lvl w:ilvl="2" w:tplc="04020005" w:tentative="1">
      <w:start w:val="1"/>
      <w:numFmt w:val="bullet"/>
      <w:lvlText w:val=""/>
      <w:lvlJc w:val="left"/>
      <w:pPr>
        <w:ind w:left="3060" w:hanging="360"/>
      </w:pPr>
      <w:rPr>
        <w:rFonts w:ascii="Wingdings" w:hAnsi="Wingdings" w:hint="default"/>
      </w:rPr>
    </w:lvl>
    <w:lvl w:ilvl="3" w:tplc="04020001" w:tentative="1">
      <w:start w:val="1"/>
      <w:numFmt w:val="bullet"/>
      <w:lvlText w:val=""/>
      <w:lvlJc w:val="left"/>
      <w:pPr>
        <w:ind w:left="3780" w:hanging="360"/>
      </w:pPr>
      <w:rPr>
        <w:rFonts w:ascii="Symbol" w:hAnsi="Symbol" w:hint="default"/>
      </w:rPr>
    </w:lvl>
    <w:lvl w:ilvl="4" w:tplc="04020003" w:tentative="1">
      <w:start w:val="1"/>
      <w:numFmt w:val="bullet"/>
      <w:lvlText w:val="o"/>
      <w:lvlJc w:val="left"/>
      <w:pPr>
        <w:ind w:left="4500" w:hanging="360"/>
      </w:pPr>
      <w:rPr>
        <w:rFonts w:ascii="Courier New" w:hAnsi="Courier New" w:cs="Courier New" w:hint="default"/>
      </w:rPr>
    </w:lvl>
    <w:lvl w:ilvl="5" w:tplc="04020005" w:tentative="1">
      <w:start w:val="1"/>
      <w:numFmt w:val="bullet"/>
      <w:lvlText w:val=""/>
      <w:lvlJc w:val="left"/>
      <w:pPr>
        <w:ind w:left="5220" w:hanging="360"/>
      </w:pPr>
      <w:rPr>
        <w:rFonts w:ascii="Wingdings" w:hAnsi="Wingdings" w:hint="default"/>
      </w:rPr>
    </w:lvl>
    <w:lvl w:ilvl="6" w:tplc="04020001" w:tentative="1">
      <w:start w:val="1"/>
      <w:numFmt w:val="bullet"/>
      <w:lvlText w:val=""/>
      <w:lvlJc w:val="left"/>
      <w:pPr>
        <w:ind w:left="5940" w:hanging="360"/>
      </w:pPr>
      <w:rPr>
        <w:rFonts w:ascii="Symbol" w:hAnsi="Symbol" w:hint="default"/>
      </w:rPr>
    </w:lvl>
    <w:lvl w:ilvl="7" w:tplc="04020003" w:tentative="1">
      <w:start w:val="1"/>
      <w:numFmt w:val="bullet"/>
      <w:lvlText w:val="o"/>
      <w:lvlJc w:val="left"/>
      <w:pPr>
        <w:ind w:left="6660" w:hanging="360"/>
      </w:pPr>
      <w:rPr>
        <w:rFonts w:ascii="Courier New" w:hAnsi="Courier New" w:cs="Courier New" w:hint="default"/>
      </w:rPr>
    </w:lvl>
    <w:lvl w:ilvl="8" w:tplc="04020005" w:tentative="1">
      <w:start w:val="1"/>
      <w:numFmt w:val="bullet"/>
      <w:lvlText w:val=""/>
      <w:lvlJc w:val="left"/>
      <w:pPr>
        <w:ind w:left="7380" w:hanging="360"/>
      </w:pPr>
      <w:rPr>
        <w:rFonts w:ascii="Wingdings" w:hAnsi="Wingdings" w:hint="default"/>
      </w:rPr>
    </w:lvl>
  </w:abstractNum>
  <w:num w:numId="1">
    <w:abstractNumId w:val="14"/>
  </w:num>
  <w:num w:numId="2">
    <w:abstractNumId w:val="7"/>
  </w:num>
  <w:num w:numId="3">
    <w:abstractNumId w:val="29"/>
  </w:num>
  <w:num w:numId="4">
    <w:abstractNumId w:val="12"/>
  </w:num>
  <w:num w:numId="5">
    <w:abstractNumId w:val="28"/>
  </w:num>
  <w:num w:numId="6">
    <w:abstractNumId w:val="4"/>
  </w:num>
  <w:num w:numId="7">
    <w:abstractNumId w:val="31"/>
  </w:num>
  <w:num w:numId="8">
    <w:abstractNumId w:val="24"/>
  </w:num>
  <w:num w:numId="9">
    <w:abstractNumId w:val="27"/>
  </w:num>
  <w:num w:numId="10">
    <w:abstractNumId w:val="1"/>
  </w:num>
  <w:num w:numId="11">
    <w:abstractNumId w:val="0"/>
  </w:num>
  <w:num w:numId="12">
    <w:abstractNumId w:val="35"/>
  </w:num>
  <w:num w:numId="13">
    <w:abstractNumId w:val="3"/>
  </w:num>
  <w:num w:numId="14">
    <w:abstractNumId w:val="32"/>
  </w:num>
  <w:num w:numId="15">
    <w:abstractNumId w:val="34"/>
  </w:num>
  <w:num w:numId="16">
    <w:abstractNumId w:val="36"/>
  </w:num>
  <w:num w:numId="17">
    <w:abstractNumId w:val="26"/>
  </w:num>
  <w:num w:numId="18">
    <w:abstractNumId w:val="17"/>
  </w:num>
  <w:num w:numId="19">
    <w:abstractNumId w:val="13"/>
  </w:num>
  <w:num w:numId="20">
    <w:abstractNumId w:val="15"/>
  </w:num>
  <w:num w:numId="21">
    <w:abstractNumId w:val="2"/>
  </w:num>
  <w:num w:numId="22">
    <w:abstractNumId w:val="9"/>
  </w:num>
  <w:num w:numId="23">
    <w:abstractNumId w:val="25"/>
  </w:num>
  <w:num w:numId="24">
    <w:abstractNumId w:val="16"/>
  </w:num>
  <w:num w:numId="25">
    <w:abstractNumId w:val="22"/>
  </w:num>
  <w:num w:numId="26">
    <w:abstractNumId w:val="21"/>
  </w:num>
  <w:num w:numId="27">
    <w:abstractNumId w:val="11"/>
  </w:num>
  <w:num w:numId="28">
    <w:abstractNumId w:val="19"/>
  </w:num>
  <w:num w:numId="29">
    <w:abstractNumId w:val="10"/>
  </w:num>
  <w:num w:numId="30">
    <w:abstractNumId w:val="18"/>
  </w:num>
  <w:num w:numId="31">
    <w:abstractNumId w:val="6"/>
  </w:num>
  <w:num w:numId="32">
    <w:abstractNumId w:val="30"/>
  </w:num>
  <w:num w:numId="33">
    <w:abstractNumId w:val="8"/>
  </w:num>
  <w:num w:numId="34">
    <w:abstractNumId w:val="33"/>
  </w:num>
  <w:num w:numId="35">
    <w:abstractNumId w:val="23"/>
  </w:num>
  <w:num w:numId="36">
    <w:abstractNumId w:val="5"/>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bg-BG" w:vendorID="11" w:dllVersion="512"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BBD"/>
    <w:rsid w:val="00000193"/>
    <w:rsid w:val="000007DC"/>
    <w:rsid w:val="00000C4F"/>
    <w:rsid w:val="00000CFD"/>
    <w:rsid w:val="00000D16"/>
    <w:rsid w:val="000016FB"/>
    <w:rsid w:val="00001ECC"/>
    <w:rsid w:val="00001EE4"/>
    <w:rsid w:val="000023D6"/>
    <w:rsid w:val="0000285A"/>
    <w:rsid w:val="0000329D"/>
    <w:rsid w:val="00003728"/>
    <w:rsid w:val="000042C4"/>
    <w:rsid w:val="00004C41"/>
    <w:rsid w:val="00004FB2"/>
    <w:rsid w:val="00005534"/>
    <w:rsid w:val="000058E0"/>
    <w:rsid w:val="00006310"/>
    <w:rsid w:val="0000685F"/>
    <w:rsid w:val="00007202"/>
    <w:rsid w:val="000076E2"/>
    <w:rsid w:val="000079F7"/>
    <w:rsid w:val="00010BF7"/>
    <w:rsid w:val="000111E3"/>
    <w:rsid w:val="00011A2D"/>
    <w:rsid w:val="00012237"/>
    <w:rsid w:val="00012FC9"/>
    <w:rsid w:val="00013250"/>
    <w:rsid w:val="000133EF"/>
    <w:rsid w:val="00013909"/>
    <w:rsid w:val="00013A55"/>
    <w:rsid w:val="00015308"/>
    <w:rsid w:val="00015651"/>
    <w:rsid w:val="00015B77"/>
    <w:rsid w:val="0001608C"/>
    <w:rsid w:val="00016C7E"/>
    <w:rsid w:val="00016E88"/>
    <w:rsid w:val="00017E80"/>
    <w:rsid w:val="0002059D"/>
    <w:rsid w:val="00020C65"/>
    <w:rsid w:val="00020F1E"/>
    <w:rsid w:val="000214D2"/>
    <w:rsid w:val="000214D7"/>
    <w:rsid w:val="000215F3"/>
    <w:rsid w:val="00021A16"/>
    <w:rsid w:val="00021D4F"/>
    <w:rsid w:val="000228DF"/>
    <w:rsid w:val="00022A9E"/>
    <w:rsid w:val="00023035"/>
    <w:rsid w:val="00023416"/>
    <w:rsid w:val="00023EF1"/>
    <w:rsid w:val="000242DC"/>
    <w:rsid w:val="0002444E"/>
    <w:rsid w:val="00024884"/>
    <w:rsid w:val="00024DF6"/>
    <w:rsid w:val="00025B21"/>
    <w:rsid w:val="00025D0D"/>
    <w:rsid w:val="00025E8E"/>
    <w:rsid w:val="00025E90"/>
    <w:rsid w:val="000264CB"/>
    <w:rsid w:val="00026A11"/>
    <w:rsid w:val="00026DA5"/>
    <w:rsid w:val="00027049"/>
    <w:rsid w:val="0003013B"/>
    <w:rsid w:val="00030622"/>
    <w:rsid w:val="0003094A"/>
    <w:rsid w:val="00030C2A"/>
    <w:rsid w:val="00031ACA"/>
    <w:rsid w:val="00031D40"/>
    <w:rsid w:val="00031EC5"/>
    <w:rsid w:val="00032588"/>
    <w:rsid w:val="0003287F"/>
    <w:rsid w:val="000333D8"/>
    <w:rsid w:val="00033628"/>
    <w:rsid w:val="00033A05"/>
    <w:rsid w:val="00033C36"/>
    <w:rsid w:val="00033D1A"/>
    <w:rsid w:val="00034216"/>
    <w:rsid w:val="0003507A"/>
    <w:rsid w:val="0003515B"/>
    <w:rsid w:val="000359CE"/>
    <w:rsid w:val="000364C3"/>
    <w:rsid w:val="000369C0"/>
    <w:rsid w:val="00036D34"/>
    <w:rsid w:val="00037BAE"/>
    <w:rsid w:val="00037FA4"/>
    <w:rsid w:val="00040569"/>
    <w:rsid w:val="00040935"/>
    <w:rsid w:val="00041235"/>
    <w:rsid w:val="00041521"/>
    <w:rsid w:val="000416A9"/>
    <w:rsid w:val="00042198"/>
    <w:rsid w:val="00042F4F"/>
    <w:rsid w:val="00042FA5"/>
    <w:rsid w:val="0004355E"/>
    <w:rsid w:val="000438A6"/>
    <w:rsid w:val="0004396D"/>
    <w:rsid w:val="00044147"/>
    <w:rsid w:val="0004431B"/>
    <w:rsid w:val="000446EB"/>
    <w:rsid w:val="000447B7"/>
    <w:rsid w:val="00044801"/>
    <w:rsid w:val="000456B1"/>
    <w:rsid w:val="00045AC1"/>
    <w:rsid w:val="00046258"/>
    <w:rsid w:val="00046AC0"/>
    <w:rsid w:val="00047BAE"/>
    <w:rsid w:val="00050772"/>
    <w:rsid w:val="00051408"/>
    <w:rsid w:val="00051FF9"/>
    <w:rsid w:val="000522B1"/>
    <w:rsid w:val="00052464"/>
    <w:rsid w:val="00052AA1"/>
    <w:rsid w:val="00052B01"/>
    <w:rsid w:val="00052B0E"/>
    <w:rsid w:val="00052D2C"/>
    <w:rsid w:val="00052D64"/>
    <w:rsid w:val="000530FC"/>
    <w:rsid w:val="00054198"/>
    <w:rsid w:val="0005451E"/>
    <w:rsid w:val="00054BD4"/>
    <w:rsid w:val="00054F27"/>
    <w:rsid w:val="00054FFD"/>
    <w:rsid w:val="000553B9"/>
    <w:rsid w:val="0005556E"/>
    <w:rsid w:val="00055D07"/>
    <w:rsid w:val="0005644E"/>
    <w:rsid w:val="00056D2E"/>
    <w:rsid w:val="0005706E"/>
    <w:rsid w:val="00060372"/>
    <w:rsid w:val="00060DFA"/>
    <w:rsid w:val="00061308"/>
    <w:rsid w:val="000614B7"/>
    <w:rsid w:val="00061D9A"/>
    <w:rsid w:val="00061FAC"/>
    <w:rsid w:val="00062019"/>
    <w:rsid w:val="00062889"/>
    <w:rsid w:val="00062D43"/>
    <w:rsid w:val="00062FB5"/>
    <w:rsid w:val="00064DF2"/>
    <w:rsid w:val="0006526B"/>
    <w:rsid w:val="0006548E"/>
    <w:rsid w:val="0006625A"/>
    <w:rsid w:val="0006656E"/>
    <w:rsid w:val="00066618"/>
    <w:rsid w:val="00066C00"/>
    <w:rsid w:val="00066DA2"/>
    <w:rsid w:val="00067487"/>
    <w:rsid w:val="00067615"/>
    <w:rsid w:val="00067787"/>
    <w:rsid w:val="00067792"/>
    <w:rsid w:val="00067E48"/>
    <w:rsid w:val="00070FF7"/>
    <w:rsid w:val="00071BB2"/>
    <w:rsid w:val="0007267B"/>
    <w:rsid w:val="000726A3"/>
    <w:rsid w:val="00072FBF"/>
    <w:rsid w:val="00073A69"/>
    <w:rsid w:val="00074997"/>
    <w:rsid w:val="00075023"/>
    <w:rsid w:val="0007507B"/>
    <w:rsid w:val="00075805"/>
    <w:rsid w:val="00075950"/>
    <w:rsid w:val="00076817"/>
    <w:rsid w:val="00076E5C"/>
    <w:rsid w:val="00077592"/>
    <w:rsid w:val="000775F5"/>
    <w:rsid w:val="000777F7"/>
    <w:rsid w:val="00077E6E"/>
    <w:rsid w:val="00080E24"/>
    <w:rsid w:val="00080E7C"/>
    <w:rsid w:val="00081718"/>
    <w:rsid w:val="00081919"/>
    <w:rsid w:val="000827EB"/>
    <w:rsid w:val="00082818"/>
    <w:rsid w:val="00082F0A"/>
    <w:rsid w:val="00082F4A"/>
    <w:rsid w:val="000832A8"/>
    <w:rsid w:val="0008384C"/>
    <w:rsid w:val="00083A40"/>
    <w:rsid w:val="00083EB6"/>
    <w:rsid w:val="00084565"/>
    <w:rsid w:val="000847E3"/>
    <w:rsid w:val="0008498E"/>
    <w:rsid w:val="00085ED4"/>
    <w:rsid w:val="00086703"/>
    <w:rsid w:val="00087126"/>
    <w:rsid w:val="000876B3"/>
    <w:rsid w:val="0008796B"/>
    <w:rsid w:val="00087C23"/>
    <w:rsid w:val="00090F9A"/>
    <w:rsid w:val="000917EB"/>
    <w:rsid w:val="0009197D"/>
    <w:rsid w:val="00093373"/>
    <w:rsid w:val="00093B4A"/>
    <w:rsid w:val="0009402D"/>
    <w:rsid w:val="00094929"/>
    <w:rsid w:val="0009518F"/>
    <w:rsid w:val="00095257"/>
    <w:rsid w:val="000955A9"/>
    <w:rsid w:val="00095FA2"/>
    <w:rsid w:val="00097143"/>
    <w:rsid w:val="00097632"/>
    <w:rsid w:val="000976D6"/>
    <w:rsid w:val="00097816"/>
    <w:rsid w:val="00097F64"/>
    <w:rsid w:val="000A0610"/>
    <w:rsid w:val="000A065E"/>
    <w:rsid w:val="000A0C1C"/>
    <w:rsid w:val="000A169F"/>
    <w:rsid w:val="000A16F6"/>
    <w:rsid w:val="000A2486"/>
    <w:rsid w:val="000A2FDE"/>
    <w:rsid w:val="000A3267"/>
    <w:rsid w:val="000A34DA"/>
    <w:rsid w:val="000A4760"/>
    <w:rsid w:val="000A5967"/>
    <w:rsid w:val="000A5EB7"/>
    <w:rsid w:val="000A6090"/>
    <w:rsid w:val="000A66EB"/>
    <w:rsid w:val="000A6E90"/>
    <w:rsid w:val="000A78EB"/>
    <w:rsid w:val="000A7F02"/>
    <w:rsid w:val="000A7FAF"/>
    <w:rsid w:val="000B0598"/>
    <w:rsid w:val="000B05FF"/>
    <w:rsid w:val="000B0CA9"/>
    <w:rsid w:val="000B0DD5"/>
    <w:rsid w:val="000B1E55"/>
    <w:rsid w:val="000B24D1"/>
    <w:rsid w:val="000B3920"/>
    <w:rsid w:val="000B3966"/>
    <w:rsid w:val="000B4039"/>
    <w:rsid w:val="000B4393"/>
    <w:rsid w:val="000B4975"/>
    <w:rsid w:val="000B5064"/>
    <w:rsid w:val="000B5610"/>
    <w:rsid w:val="000B56DF"/>
    <w:rsid w:val="000B5FEE"/>
    <w:rsid w:val="000B6ACD"/>
    <w:rsid w:val="000C0CE0"/>
    <w:rsid w:val="000C0E60"/>
    <w:rsid w:val="000C111C"/>
    <w:rsid w:val="000C11B8"/>
    <w:rsid w:val="000C18F0"/>
    <w:rsid w:val="000C2150"/>
    <w:rsid w:val="000C35B5"/>
    <w:rsid w:val="000C5386"/>
    <w:rsid w:val="000C53DA"/>
    <w:rsid w:val="000C5AA4"/>
    <w:rsid w:val="000C6731"/>
    <w:rsid w:val="000C6780"/>
    <w:rsid w:val="000C67FE"/>
    <w:rsid w:val="000C6F4E"/>
    <w:rsid w:val="000C7606"/>
    <w:rsid w:val="000D0E3E"/>
    <w:rsid w:val="000D175A"/>
    <w:rsid w:val="000D197D"/>
    <w:rsid w:val="000D28D1"/>
    <w:rsid w:val="000D2F09"/>
    <w:rsid w:val="000D2F1F"/>
    <w:rsid w:val="000D3EF9"/>
    <w:rsid w:val="000D480E"/>
    <w:rsid w:val="000D597C"/>
    <w:rsid w:val="000D601A"/>
    <w:rsid w:val="000D61A0"/>
    <w:rsid w:val="000D686E"/>
    <w:rsid w:val="000D7930"/>
    <w:rsid w:val="000D7FDC"/>
    <w:rsid w:val="000E0D00"/>
    <w:rsid w:val="000E10FD"/>
    <w:rsid w:val="000E1902"/>
    <w:rsid w:val="000E1E0A"/>
    <w:rsid w:val="000E2228"/>
    <w:rsid w:val="000E2CAE"/>
    <w:rsid w:val="000E2D0D"/>
    <w:rsid w:val="000E2FD8"/>
    <w:rsid w:val="000E386F"/>
    <w:rsid w:val="000E3958"/>
    <w:rsid w:val="000E4C39"/>
    <w:rsid w:val="000E4D1C"/>
    <w:rsid w:val="000E532B"/>
    <w:rsid w:val="000E5CB1"/>
    <w:rsid w:val="000E624A"/>
    <w:rsid w:val="000E6946"/>
    <w:rsid w:val="000E6F99"/>
    <w:rsid w:val="000E715E"/>
    <w:rsid w:val="000E7347"/>
    <w:rsid w:val="000E768D"/>
    <w:rsid w:val="000E7B2C"/>
    <w:rsid w:val="000F001B"/>
    <w:rsid w:val="000F01AB"/>
    <w:rsid w:val="000F0661"/>
    <w:rsid w:val="000F0851"/>
    <w:rsid w:val="000F08DA"/>
    <w:rsid w:val="000F0B75"/>
    <w:rsid w:val="000F16A3"/>
    <w:rsid w:val="000F1F50"/>
    <w:rsid w:val="000F20DC"/>
    <w:rsid w:val="000F2D4C"/>
    <w:rsid w:val="000F2F5B"/>
    <w:rsid w:val="000F4136"/>
    <w:rsid w:val="000F422E"/>
    <w:rsid w:val="000F4406"/>
    <w:rsid w:val="000F4974"/>
    <w:rsid w:val="000F49D9"/>
    <w:rsid w:val="000F4B01"/>
    <w:rsid w:val="000F563C"/>
    <w:rsid w:val="000F56D7"/>
    <w:rsid w:val="000F5B4B"/>
    <w:rsid w:val="000F6538"/>
    <w:rsid w:val="000F6CBB"/>
    <w:rsid w:val="000F7480"/>
    <w:rsid w:val="000F7FA6"/>
    <w:rsid w:val="00100D40"/>
    <w:rsid w:val="00100F21"/>
    <w:rsid w:val="00101290"/>
    <w:rsid w:val="00101DCD"/>
    <w:rsid w:val="001024BB"/>
    <w:rsid w:val="001025D5"/>
    <w:rsid w:val="00103843"/>
    <w:rsid w:val="00104248"/>
    <w:rsid w:val="00104EC0"/>
    <w:rsid w:val="0010528B"/>
    <w:rsid w:val="0010537F"/>
    <w:rsid w:val="0010540A"/>
    <w:rsid w:val="0010566B"/>
    <w:rsid w:val="0010577C"/>
    <w:rsid w:val="00105956"/>
    <w:rsid w:val="00105B46"/>
    <w:rsid w:val="00105F8D"/>
    <w:rsid w:val="001061D2"/>
    <w:rsid w:val="0010693F"/>
    <w:rsid w:val="00106BB2"/>
    <w:rsid w:val="001078D2"/>
    <w:rsid w:val="00107FB0"/>
    <w:rsid w:val="00110FF3"/>
    <w:rsid w:val="00111493"/>
    <w:rsid w:val="00111B62"/>
    <w:rsid w:val="001126FB"/>
    <w:rsid w:val="00112B83"/>
    <w:rsid w:val="00112F49"/>
    <w:rsid w:val="00113022"/>
    <w:rsid w:val="001130B0"/>
    <w:rsid w:val="001136C3"/>
    <w:rsid w:val="00113BA7"/>
    <w:rsid w:val="00113FCB"/>
    <w:rsid w:val="001140CD"/>
    <w:rsid w:val="00114379"/>
    <w:rsid w:val="001144C1"/>
    <w:rsid w:val="0011451B"/>
    <w:rsid w:val="0011459E"/>
    <w:rsid w:val="001157D9"/>
    <w:rsid w:val="00115AED"/>
    <w:rsid w:val="00115CEE"/>
    <w:rsid w:val="0011677A"/>
    <w:rsid w:val="0011689E"/>
    <w:rsid w:val="00116A3E"/>
    <w:rsid w:val="00116F49"/>
    <w:rsid w:val="001174F5"/>
    <w:rsid w:val="0011752F"/>
    <w:rsid w:val="00117A8D"/>
    <w:rsid w:val="00122300"/>
    <w:rsid w:val="0012298C"/>
    <w:rsid w:val="00122DAA"/>
    <w:rsid w:val="00123107"/>
    <w:rsid w:val="00123DD3"/>
    <w:rsid w:val="00124731"/>
    <w:rsid w:val="00124ECC"/>
    <w:rsid w:val="00125331"/>
    <w:rsid w:val="00125647"/>
    <w:rsid w:val="00125B95"/>
    <w:rsid w:val="00126573"/>
    <w:rsid w:val="001265E4"/>
    <w:rsid w:val="00126DF3"/>
    <w:rsid w:val="00126F1B"/>
    <w:rsid w:val="001273C9"/>
    <w:rsid w:val="001306B1"/>
    <w:rsid w:val="001310F3"/>
    <w:rsid w:val="0013174D"/>
    <w:rsid w:val="00132355"/>
    <w:rsid w:val="00132369"/>
    <w:rsid w:val="00132781"/>
    <w:rsid w:val="00132E61"/>
    <w:rsid w:val="001330E9"/>
    <w:rsid w:val="001332E0"/>
    <w:rsid w:val="0013380A"/>
    <w:rsid w:val="001339B9"/>
    <w:rsid w:val="00133ABF"/>
    <w:rsid w:val="00133AE3"/>
    <w:rsid w:val="00134550"/>
    <w:rsid w:val="0013496B"/>
    <w:rsid w:val="00134A25"/>
    <w:rsid w:val="001350CE"/>
    <w:rsid w:val="001351B6"/>
    <w:rsid w:val="00135349"/>
    <w:rsid w:val="001358D8"/>
    <w:rsid w:val="00135A85"/>
    <w:rsid w:val="001360FF"/>
    <w:rsid w:val="0013611D"/>
    <w:rsid w:val="00136323"/>
    <w:rsid w:val="00136681"/>
    <w:rsid w:val="001367BE"/>
    <w:rsid w:val="001371C5"/>
    <w:rsid w:val="001376CE"/>
    <w:rsid w:val="001376FD"/>
    <w:rsid w:val="00140331"/>
    <w:rsid w:val="0014068D"/>
    <w:rsid w:val="001407DC"/>
    <w:rsid w:val="0014086E"/>
    <w:rsid w:val="00140A5C"/>
    <w:rsid w:val="00140F7E"/>
    <w:rsid w:val="00141A5B"/>
    <w:rsid w:val="00141CE5"/>
    <w:rsid w:val="001422D8"/>
    <w:rsid w:val="0014296F"/>
    <w:rsid w:val="0014297D"/>
    <w:rsid w:val="00142B2F"/>
    <w:rsid w:val="00142BB9"/>
    <w:rsid w:val="00142C2D"/>
    <w:rsid w:val="00143178"/>
    <w:rsid w:val="001431DB"/>
    <w:rsid w:val="00143307"/>
    <w:rsid w:val="00143A39"/>
    <w:rsid w:val="0014453F"/>
    <w:rsid w:val="00144C88"/>
    <w:rsid w:val="0014503B"/>
    <w:rsid w:val="00146820"/>
    <w:rsid w:val="00146BD0"/>
    <w:rsid w:val="00147241"/>
    <w:rsid w:val="001478E7"/>
    <w:rsid w:val="00147B46"/>
    <w:rsid w:val="00147CA3"/>
    <w:rsid w:val="00147EE1"/>
    <w:rsid w:val="00150D2E"/>
    <w:rsid w:val="00151A19"/>
    <w:rsid w:val="00151A4C"/>
    <w:rsid w:val="00151AD1"/>
    <w:rsid w:val="00151B37"/>
    <w:rsid w:val="00152312"/>
    <w:rsid w:val="00152EAA"/>
    <w:rsid w:val="001530F4"/>
    <w:rsid w:val="00153CFE"/>
    <w:rsid w:val="00154C00"/>
    <w:rsid w:val="00154C07"/>
    <w:rsid w:val="00154D4C"/>
    <w:rsid w:val="00154F92"/>
    <w:rsid w:val="0015552D"/>
    <w:rsid w:val="001556D1"/>
    <w:rsid w:val="00155BD2"/>
    <w:rsid w:val="00155CA4"/>
    <w:rsid w:val="00156118"/>
    <w:rsid w:val="0015654F"/>
    <w:rsid w:val="001568A8"/>
    <w:rsid w:val="00156B6E"/>
    <w:rsid w:val="00157026"/>
    <w:rsid w:val="001571DA"/>
    <w:rsid w:val="001575D3"/>
    <w:rsid w:val="00157B9E"/>
    <w:rsid w:val="001601ED"/>
    <w:rsid w:val="00160303"/>
    <w:rsid w:val="001603D2"/>
    <w:rsid w:val="00160AF4"/>
    <w:rsid w:val="00161341"/>
    <w:rsid w:val="001615A2"/>
    <w:rsid w:val="00162038"/>
    <w:rsid w:val="00162975"/>
    <w:rsid w:val="00162DD6"/>
    <w:rsid w:val="00163835"/>
    <w:rsid w:val="00163901"/>
    <w:rsid w:val="00163C36"/>
    <w:rsid w:val="0016492D"/>
    <w:rsid w:val="00164A10"/>
    <w:rsid w:val="00166479"/>
    <w:rsid w:val="0016649F"/>
    <w:rsid w:val="001667D3"/>
    <w:rsid w:val="00166B3D"/>
    <w:rsid w:val="001679B6"/>
    <w:rsid w:val="0017038E"/>
    <w:rsid w:val="0017204F"/>
    <w:rsid w:val="00172450"/>
    <w:rsid w:val="00172EA8"/>
    <w:rsid w:val="00173194"/>
    <w:rsid w:val="001738F8"/>
    <w:rsid w:val="00173976"/>
    <w:rsid w:val="00173BA6"/>
    <w:rsid w:val="0017408D"/>
    <w:rsid w:val="0017469E"/>
    <w:rsid w:val="0017496A"/>
    <w:rsid w:val="00174CE6"/>
    <w:rsid w:val="00174E01"/>
    <w:rsid w:val="00174F0D"/>
    <w:rsid w:val="00174F3B"/>
    <w:rsid w:val="001752F2"/>
    <w:rsid w:val="001753BE"/>
    <w:rsid w:val="00175E5F"/>
    <w:rsid w:val="00176F3B"/>
    <w:rsid w:val="00177292"/>
    <w:rsid w:val="00177732"/>
    <w:rsid w:val="00177F12"/>
    <w:rsid w:val="00180A17"/>
    <w:rsid w:val="00180FF0"/>
    <w:rsid w:val="0018162F"/>
    <w:rsid w:val="0018202F"/>
    <w:rsid w:val="0018235D"/>
    <w:rsid w:val="00182D0F"/>
    <w:rsid w:val="00182FCD"/>
    <w:rsid w:val="00183C8D"/>
    <w:rsid w:val="00183D8F"/>
    <w:rsid w:val="00183E53"/>
    <w:rsid w:val="00183E63"/>
    <w:rsid w:val="00183FF4"/>
    <w:rsid w:val="001844B8"/>
    <w:rsid w:val="00185019"/>
    <w:rsid w:val="001862EA"/>
    <w:rsid w:val="0018630F"/>
    <w:rsid w:val="00186668"/>
    <w:rsid w:val="00187591"/>
    <w:rsid w:val="00190160"/>
    <w:rsid w:val="0019071F"/>
    <w:rsid w:val="00190968"/>
    <w:rsid w:val="00190D0D"/>
    <w:rsid w:val="00190FC7"/>
    <w:rsid w:val="00191E36"/>
    <w:rsid w:val="00192547"/>
    <w:rsid w:val="00192B05"/>
    <w:rsid w:val="001936BE"/>
    <w:rsid w:val="00193D0E"/>
    <w:rsid w:val="00194274"/>
    <w:rsid w:val="00194316"/>
    <w:rsid w:val="0019438B"/>
    <w:rsid w:val="001949BC"/>
    <w:rsid w:val="00194E8B"/>
    <w:rsid w:val="00195132"/>
    <w:rsid w:val="0019532A"/>
    <w:rsid w:val="00195720"/>
    <w:rsid w:val="00195D89"/>
    <w:rsid w:val="00196586"/>
    <w:rsid w:val="001968FD"/>
    <w:rsid w:val="00196C6E"/>
    <w:rsid w:val="0019741C"/>
    <w:rsid w:val="00197583"/>
    <w:rsid w:val="001A0256"/>
    <w:rsid w:val="001A1E60"/>
    <w:rsid w:val="001A1E67"/>
    <w:rsid w:val="001A1FD6"/>
    <w:rsid w:val="001A2306"/>
    <w:rsid w:val="001A2454"/>
    <w:rsid w:val="001A24EE"/>
    <w:rsid w:val="001A2A42"/>
    <w:rsid w:val="001A3378"/>
    <w:rsid w:val="001A3F47"/>
    <w:rsid w:val="001A4542"/>
    <w:rsid w:val="001A49DA"/>
    <w:rsid w:val="001A61E5"/>
    <w:rsid w:val="001A61FE"/>
    <w:rsid w:val="001A712C"/>
    <w:rsid w:val="001A75C7"/>
    <w:rsid w:val="001A7B0F"/>
    <w:rsid w:val="001A7E03"/>
    <w:rsid w:val="001B0376"/>
    <w:rsid w:val="001B08FE"/>
    <w:rsid w:val="001B0988"/>
    <w:rsid w:val="001B0FF5"/>
    <w:rsid w:val="001B1B1D"/>
    <w:rsid w:val="001B22C7"/>
    <w:rsid w:val="001B23E7"/>
    <w:rsid w:val="001B2459"/>
    <w:rsid w:val="001B2E10"/>
    <w:rsid w:val="001B3AF5"/>
    <w:rsid w:val="001B3D2F"/>
    <w:rsid w:val="001B3EB5"/>
    <w:rsid w:val="001B4062"/>
    <w:rsid w:val="001B40D2"/>
    <w:rsid w:val="001B4553"/>
    <w:rsid w:val="001B52EE"/>
    <w:rsid w:val="001B5355"/>
    <w:rsid w:val="001B541A"/>
    <w:rsid w:val="001B5A6D"/>
    <w:rsid w:val="001B606D"/>
    <w:rsid w:val="001B62DE"/>
    <w:rsid w:val="001B6D76"/>
    <w:rsid w:val="001B7242"/>
    <w:rsid w:val="001B73FA"/>
    <w:rsid w:val="001B77FE"/>
    <w:rsid w:val="001B7DD9"/>
    <w:rsid w:val="001C052C"/>
    <w:rsid w:val="001C13FC"/>
    <w:rsid w:val="001C1B42"/>
    <w:rsid w:val="001C26ED"/>
    <w:rsid w:val="001C3BA6"/>
    <w:rsid w:val="001C4322"/>
    <w:rsid w:val="001C449D"/>
    <w:rsid w:val="001C4CCB"/>
    <w:rsid w:val="001C4DB7"/>
    <w:rsid w:val="001C4E60"/>
    <w:rsid w:val="001C55A9"/>
    <w:rsid w:val="001C5DC8"/>
    <w:rsid w:val="001C6602"/>
    <w:rsid w:val="001C69BD"/>
    <w:rsid w:val="001C69F2"/>
    <w:rsid w:val="001C74C7"/>
    <w:rsid w:val="001C76E8"/>
    <w:rsid w:val="001D0987"/>
    <w:rsid w:val="001D1A40"/>
    <w:rsid w:val="001D1F36"/>
    <w:rsid w:val="001D2CA8"/>
    <w:rsid w:val="001D3A20"/>
    <w:rsid w:val="001D470F"/>
    <w:rsid w:val="001D4B87"/>
    <w:rsid w:val="001D573A"/>
    <w:rsid w:val="001D58E5"/>
    <w:rsid w:val="001D5E04"/>
    <w:rsid w:val="001D60D7"/>
    <w:rsid w:val="001D6348"/>
    <w:rsid w:val="001D6430"/>
    <w:rsid w:val="001D67DB"/>
    <w:rsid w:val="001D755B"/>
    <w:rsid w:val="001D7E47"/>
    <w:rsid w:val="001E0C91"/>
    <w:rsid w:val="001E11DC"/>
    <w:rsid w:val="001E1655"/>
    <w:rsid w:val="001E1869"/>
    <w:rsid w:val="001E2133"/>
    <w:rsid w:val="001E2229"/>
    <w:rsid w:val="001E2249"/>
    <w:rsid w:val="001E26CA"/>
    <w:rsid w:val="001E3881"/>
    <w:rsid w:val="001E5349"/>
    <w:rsid w:val="001E5371"/>
    <w:rsid w:val="001E5C4B"/>
    <w:rsid w:val="001E5CBA"/>
    <w:rsid w:val="001E6302"/>
    <w:rsid w:val="001E6553"/>
    <w:rsid w:val="001E6C0C"/>
    <w:rsid w:val="001E6EB4"/>
    <w:rsid w:val="001E7AA5"/>
    <w:rsid w:val="001E7FB7"/>
    <w:rsid w:val="001F0C90"/>
    <w:rsid w:val="001F0C9C"/>
    <w:rsid w:val="001F0D41"/>
    <w:rsid w:val="001F182F"/>
    <w:rsid w:val="001F3C50"/>
    <w:rsid w:val="001F3D1C"/>
    <w:rsid w:val="001F3F2B"/>
    <w:rsid w:val="001F3F44"/>
    <w:rsid w:val="001F4118"/>
    <w:rsid w:val="001F4415"/>
    <w:rsid w:val="001F4E30"/>
    <w:rsid w:val="001F519F"/>
    <w:rsid w:val="001F5A93"/>
    <w:rsid w:val="001F5AF8"/>
    <w:rsid w:val="001F5BFA"/>
    <w:rsid w:val="001F706D"/>
    <w:rsid w:val="001F783F"/>
    <w:rsid w:val="001F7AA5"/>
    <w:rsid w:val="00200359"/>
    <w:rsid w:val="00200439"/>
    <w:rsid w:val="00200921"/>
    <w:rsid w:val="00200958"/>
    <w:rsid w:val="0020109E"/>
    <w:rsid w:val="002019F8"/>
    <w:rsid w:val="00201A9A"/>
    <w:rsid w:val="002027AA"/>
    <w:rsid w:val="00202AED"/>
    <w:rsid w:val="00203431"/>
    <w:rsid w:val="00203987"/>
    <w:rsid w:val="00203F8D"/>
    <w:rsid w:val="002041FF"/>
    <w:rsid w:val="002047AE"/>
    <w:rsid w:val="00204AAA"/>
    <w:rsid w:val="002056BD"/>
    <w:rsid w:val="0020686F"/>
    <w:rsid w:val="00207237"/>
    <w:rsid w:val="0020777F"/>
    <w:rsid w:val="002077E1"/>
    <w:rsid w:val="002079CE"/>
    <w:rsid w:val="002079D5"/>
    <w:rsid w:val="00207AE9"/>
    <w:rsid w:val="00207CEE"/>
    <w:rsid w:val="00210230"/>
    <w:rsid w:val="0021029C"/>
    <w:rsid w:val="0021115C"/>
    <w:rsid w:val="00211816"/>
    <w:rsid w:val="00211AA9"/>
    <w:rsid w:val="00211C7A"/>
    <w:rsid w:val="00212F4A"/>
    <w:rsid w:val="00213334"/>
    <w:rsid w:val="002135F7"/>
    <w:rsid w:val="00213756"/>
    <w:rsid w:val="00214527"/>
    <w:rsid w:val="00214840"/>
    <w:rsid w:val="00214DD6"/>
    <w:rsid w:val="0021506C"/>
    <w:rsid w:val="002155AE"/>
    <w:rsid w:val="002156F6"/>
    <w:rsid w:val="00215ABE"/>
    <w:rsid w:val="00216E06"/>
    <w:rsid w:val="002202B8"/>
    <w:rsid w:val="002202B9"/>
    <w:rsid w:val="00220695"/>
    <w:rsid w:val="002212C0"/>
    <w:rsid w:val="00221D5F"/>
    <w:rsid w:val="002226EA"/>
    <w:rsid w:val="00223998"/>
    <w:rsid w:val="00223E3B"/>
    <w:rsid w:val="0022430D"/>
    <w:rsid w:val="002247A2"/>
    <w:rsid w:val="00224A19"/>
    <w:rsid w:val="00224B7E"/>
    <w:rsid w:val="00224D08"/>
    <w:rsid w:val="002254A4"/>
    <w:rsid w:val="002257AE"/>
    <w:rsid w:val="00225906"/>
    <w:rsid w:val="00225A6F"/>
    <w:rsid w:val="00226770"/>
    <w:rsid w:val="00226E40"/>
    <w:rsid w:val="0022731F"/>
    <w:rsid w:val="00227A43"/>
    <w:rsid w:val="00230DB6"/>
    <w:rsid w:val="00231346"/>
    <w:rsid w:val="0023185D"/>
    <w:rsid w:val="00231E5C"/>
    <w:rsid w:val="00231E9B"/>
    <w:rsid w:val="00232914"/>
    <w:rsid w:val="00232AD4"/>
    <w:rsid w:val="00233204"/>
    <w:rsid w:val="002334B2"/>
    <w:rsid w:val="002337CA"/>
    <w:rsid w:val="00233C1D"/>
    <w:rsid w:val="00233D88"/>
    <w:rsid w:val="00234485"/>
    <w:rsid w:val="00234A1A"/>
    <w:rsid w:val="00234E10"/>
    <w:rsid w:val="002350A6"/>
    <w:rsid w:val="00235CA5"/>
    <w:rsid w:val="00235CBF"/>
    <w:rsid w:val="002362D8"/>
    <w:rsid w:val="0023766E"/>
    <w:rsid w:val="00237CB2"/>
    <w:rsid w:val="00240669"/>
    <w:rsid w:val="00240CC3"/>
    <w:rsid w:val="00240EFF"/>
    <w:rsid w:val="00240F69"/>
    <w:rsid w:val="002410C8"/>
    <w:rsid w:val="0024123F"/>
    <w:rsid w:val="002414B8"/>
    <w:rsid w:val="002421AE"/>
    <w:rsid w:val="00242582"/>
    <w:rsid w:val="002433F4"/>
    <w:rsid w:val="00243638"/>
    <w:rsid w:val="00243ADF"/>
    <w:rsid w:val="0024431E"/>
    <w:rsid w:val="00244F2D"/>
    <w:rsid w:val="00245A5B"/>
    <w:rsid w:val="0024604A"/>
    <w:rsid w:val="00246EC1"/>
    <w:rsid w:val="00246FBB"/>
    <w:rsid w:val="0025046F"/>
    <w:rsid w:val="00250735"/>
    <w:rsid w:val="00250AC3"/>
    <w:rsid w:val="002511A1"/>
    <w:rsid w:val="00251233"/>
    <w:rsid w:val="00251E3A"/>
    <w:rsid w:val="0025368A"/>
    <w:rsid w:val="002543C4"/>
    <w:rsid w:val="00254958"/>
    <w:rsid w:val="00254D3D"/>
    <w:rsid w:val="00254FEC"/>
    <w:rsid w:val="00255709"/>
    <w:rsid w:val="00255ABF"/>
    <w:rsid w:val="00257B95"/>
    <w:rsid w:val="00257EAB"/>
    <w:rsid w:val="00257F5B"/>
    <w:rsid w:val="002600B5"/>
    <w:rsid w:val="00260358"/>
    <w:rsid w:val="00260B53"/>
    <w:rsid w:val="00260FCB"/>
    <w:rsid w:val="002613DF"/>
    <w:rsid w:val="00261409"/>
    <w:rsid w:val="002621CD"/>
    <w:rsid w:val="002625BC"/>
    <w:rsid w:val="00262A6E"/>
    <w:rsid w:val="0026346D"/>
    <w:rsid w:val="0026386D"/>
    <w:rsid w:val="002639BD"/>
    <w:rsid w:val="00263EBF"/>
    <w:rsid w:val="00264099"/>
    <w:rsid w:val="00264109"/>
    <w:rsid w:val="0026439A"/>
    <w:rsid w:val="00264F3F"/>
    <w:rsid w:val="00265651"/>
    <w:rsid w:val="00265AC5"/>
    <w:rsid w:val="00265EFF"/>
    <w:rsid w:val="002667EF"/>
    <w:rsid w:val="00266EC2"/>
    <w:rsid w:val="00267DE4"/>
    <w:rsid w:val="002706DF"/>
    <w:rsid w:val="00270B4D"/>
    <w:rsid w:val="00270F46"/>
    <w:rsid w:val="0027130B"/>
    <w:rsid w:val="002713A2"/>
    <w:rsid w:val="0027155F"/>
    <w:rsid w:val="00271971"/>
    <w:rsid w:val="00271BA3"/>
    <w:rsid w:val="00271F9F"/>
    <w:rsid w:val="0027276A"/>
    <w:rsid w:val="0027281F"/>
    <w:rsid w:val="00272939"/>
    <w:rsid w:val="00273275"/>
    <w:rsid w:val="00273461"/>
    <w:rsid w:val="002734A1"/>
    <w:rsid w:val="00273518"/>
    <w:rsid w:val="00273B84"/>
    <w:rsid w:val="00273EDD"/>
    <w:rsid w:val="0027442D"/>
    <w:rsid w:val="002745E5"/>
    <w:rsid w:val="00274755"/>
    <w:rsid w:val="00274834"/>
    <w:rsid w:val="00275AFF"/>
    <w:rsid w:val="00276D68"/>
    <w:rsid w:val="00277125"/>
    <w:rsid w:val="002772FF"/>
    <w:rsid w:val="002775D9"/>
    <w:rsid w:val="00277B76"/>
    <w:rsid w:val="00277BCD"/>
    <w:rsid w:val="00277DFD"/>
    <w:rsid w:val="00277E5E"/>
    <w:rsid w:val="00280547"/>
    <w:rsid w:val="00280B0B"/>
    <w:rsid w:val="0028185A"/>
    <w:rsid w:val="00281B9E"/>
    <w:rsid w:val="00282FA0"/>
    <w:rsid w:val="00283243"/>
    <w:rsid w:val="00284689"/>
    <w:rsid w:val="00284810"/>
    <w:rsid w:val="0028489F"/>
    <w:rsid w:val="0028499D"/>
    <w:rsid w:val="002855A7"/>
    <w:rsid w:val="00285629"/>
    <w:rsid w:val="00285C13"/>
    <w:rsid w:val="00285C29"/>
    <w:rsid w:val="00285E80"/>
    <w:rsid w:val="00286188"/>
    <w:rsid w:val="00286335"/>
    <w:rsid w:val="00286427"/>
    <w:rsid w:val="002864FB"/>
    <w:rsid w:val="00286E4B"/>
    <w:rsid w:val="00287261"/>
    <w:rsid w:val="00290030"/>
    <w:rsid w:val="00290954"/>
    <w:rsid w:val="0029137C"/>
    <w:rsid w:val="00291571"/>
    <w:rsid w:val="0029185B"/>
    <w:rsid w:val="002919A5"/>
    <w:rsid w:val="002920F9"/>
    <w:rsid w:val="00292702"/>
    <w:rsid w:val="00292E49"/>
    <w:rsid w:val="00293D3D"/>
    <w:rsid w:val="00294546"/>
    <w:rsid w:val="00294967"/>
    <w:rsid w:val="0029533B"/>
    <w:rsid w:val="00295754"/>
    <w:rsid w:val="00295E64"/>
    <w:rsid w:val="00297630"/>
    <w:rsid w:val="00297BC6"/>
    <w:rsid w:val="002A029F"/>
    <w:rsid w:val="002A07BB"/>
    <w:rsid w:val="002A0B8B"/>
    <w:rsid w:val="002A1089"/>
    <w:rsid w:val="002A11F5"/>
    <w:rsid w:val="002A19C8"/>
    <w:rsid w:val="002A2AC2"/>
    <w:rsid w:val="002A2B66"/>
    <w:rsid w:val="002A39A0"/>
    <w:rsid w:val="002A3EAD"/>
    <w:rsid w:val="002A43A1"/>
    <w:rsid w:val="002A4D97"/>
    <w:rsid w:val="002A4F08"/>
    <w:rsid w:val="002A503B"/>
    <w:rsid w:val="002A544A"/>
    <w:rsid w:val="002A56C3"/>
    <w:rsid w:val="002A5737"/>
    <w:rsid w:val="002A58F1"/>
    <w:rsid w:val="002A7048"/>
    <w:rsid w:val="002A777E"/>
    <w:rsid w:val="002A7F98"/>
    <w:rsid w:val="002B00C0"/>
    <w:rsid w:val="002B00D6"/>
    <w:rsid w:val="002B04B9"/>
    <w:rsid w:val="002B1694"/>
    <w:rsid w:val="002B1B11"/>
    <w:rsid w:val="002B1BA0"/>
    <w:rsid w:val="002B205E"/>
    <w:rsid w:val="002B273B"/>
    <w:rsid w:val="002B2DC2"/>
    <w:rsid w:val="002B3523"/>
    <w:rsid w:val="002B3FF7"/>
    <w:rsid w:val="002B415C"/>
    <w:rsid w:val="002B4A23"/>
    <w:rsid w:val="002B59A9"/>
    <w:rsid w:val="002B5A95"/>
    <w:rsid w:val="002B5F0A"/>
    <w:rsid w:val="002B6CDA"/>
    <w:rsid w:val="002C09C9"/>
    <w:rsid w:val="002C1612"/>
    <w:rsid w:val="002C166A"/>
    <w:rsid w:val="002C1A42"/>
    <w:rsid w:val="002C2168"/>
    <w:rsid w:val="002C3518"/>
    <w:rsid w:val="002C3564"/>
    <w:rsid w:val="002C3CF6"/>
    <w:rsid w:val="002C422B"/>
    <w:rsid w:val="002C51B6"/>
    <w:rsid w:val="002C51CE"/>
    <w:rsid w:val="002C5488"/>
    <w:rsid w:val="002C552F"/>
    <w:rsid w:val="002C58BE"/>
    <w:rsid w:val="002C5BF7"/>
    <w:rsid w:val="002C6471"/>
    <w:rsid w:val="002C6984"/>
    <w:rsid w:val="002C7082"/>
    <w:rsid w:val="002C7C98"/>
    <w:rsid w:val="002D07A2"/>
    <w:rsid w:val="002D07EC"/>
    <w:rsid w:val="002D0994"/>
    <w:rsid w:val="002D09B6"/>
    <w:rsid w:val="002D17DF"/>
    <w:rsid w:val="002D1D77"/>
    <w:rsid w:val="002D2B27"/>
    <w:rsid w:val="002D325F"/>
    <w:rsid w:val="002D33A6"/>
    <w:rsid w:val="002D3639"/>
    <w:rsid w:val="002D3EE0"/>
    <w:rsid w:val="002D3FA8"/>
    <w:rsid w:val="002D41B1"/>
    <w:rsid w:val="002D42F0"/>
    <w:rsid w:val="002D44A9"/>
    <w:rsid w:val="002D52CA"/>
    <w:rsid w:val="002D5EC6"/>
    <w:rsid w:val="002D6216"/>
    <w:rsid w:val="002D66E7"/>
    <w:rsid w:val="002D6914"/>
    <w:rsid w:val="002D6FD7"/>
    <w:rsid w:val="002D75E7"/>
    <w:rsid w:val="002E068A"/>
    <w:rsid w:val="002E0CAC"/>
    <w:rsid w:val="002E10A7"/>
    <w:rsid w:val="002E15AC"/>
    <w:rsid w:val="002E17BA"/>
    <w:rsid w:val="002E2105"/>
    <w:rsid w:val="002E2167"/>
    <w:rsid w:val="002E262B"/>
    <w:rsid w:val="002E2B0E"/>
    <w:rsid w:val="002E2D40"/>
    <w:rsid w:val="002E3481"/>
    <w:rsid w:val="002E34F4"/>
    <w:rsid w:val="002E3653"/>
    <w:rsid w:val="002E4D20"/>
    <w:rsid w:val="002E54C5"/>
    <w:rsid w:val="002E61D0"/>
    <w:rsid w:val="002E61E5"/>
    <w:rsid w:val="002E6210"/>
    <w:rsid w:val="002E6921"/>
    <w:rsid w:val="002E7576"/>
    <w:rsid w:val="002F0019"/>
    <w:rsid w:val="002F032B"/>
    <w:rsid w:val="002F0BE0"/>
    <w:rsid w:val="002F0E07"/>
    <w:rsid w:val="002F1264"/>
    <w:rsid w:val="002F229F"/>
    <w:rsid w:val="002F23D0"/>
    <w:rsid w:val="002F2C1A"/>
    <w:rsid w:val="002F3CA0"/>
    <w:rsid w:val="002F3CD5"/>
    <w:rsid w:val="002F468D"/>
    <w:rsid w:val="002F4F0F"/>
    <w:rsid w:val="002F4FF9"/>
    <w:rsid w:val="002F4FFA"/>
    <w:rsid w:val="002F531A"/>
    <w:rsid w:val="002F595E"/>
    <w:rsid w:val="002F695C"/>
    <w:rsid w:val="002F6C2A"/>
    <w:rsid w:val="002F7194"/>
    <w:rsid w:val="002F7489"/>
    <w:rsid w:val="002F7759"/>
    <w:rsid w:val="003013B5"/>
    <w:rsid w:val="00301D88"/>
    <w:rsid w:val="0030237D"/>
    <w:rsid w:val="00302F03"/>
    <w:rsid w:val="00304770"/>
    <w:rsid w:val="0030495F"/>
    <w:rsid w:val="00304A7F"/>
    <w:rsid w:val="00304D44"/>
    <w:rsid w:val="00305E8D"/>
    <w:rsid w:val="0030691C"/>
    <w:rsid w:val="00306B5A"/>
    <w:rsid w:val="00306D45"/>
    <w:rsid w:val="00306F9F"/>
    <w:rsid w:val="00307491"/>
    <w:rsid w:val="00310692"/>
    <w:rsid w:val="003107DE"/>
    <w:rsid w:val="00310952"/>
    <w:rsid w:val="00310C0F"/>
    <w:rsid w:val="00310E3E"/>
    <w:rsid w:val="0031160C"/>
    <w:rsid w:val="00312DB8"/>
    <w:rsid w:val="003132FC"/>
    <w:rsid w:val="003138F3"/>
    <w:rsid w:val="00313958"/>
    <w:rsid w:val="003139D3"/>
    <w:rsid w:val="00313A9D"/>
    <w:rsid w:val="00313AE0"/>
    <w:rsid w:val="00314156"/>
    <w:rsid w:val="00314502"/>
    <w:rsid w:val="003146D8"/>
    <w:rsid w:val="00314D17"/>
    <w:rsid w:val="00314DD2"/>
    <w:rsid w:val="0031529B"/>
    <w:rsid w:val="00315919"/>
    <w:rsid w:val="0031670F"/>
    <w:rsid w:val="00316C3D"/>
    <w:rsid w:val="003174AE"/>
    <w:rsid w:val="00317D44"/>
    <w:rsid w:val="003203F6"/>
    <w:rsid w:val="0032040C"/>
    <w:rsid w:val="003209FA"/>
    <w:rsid w:val="00321054"/>
    <w:rsid w:val="00321DDB"/>
    <w:rsid w:val="00322D69"/>
    <w:rsid w:val="00323362"/>
    <w:rsid w:val="00323714"/>
    <w:rsid w:val="00323C8D"/>
    <w:rsid w:val="00323E83"/>
    <w:rsid w:val="00324105"/>
    <w:rsid w:val="003242B3"/>
    <w:rsid w:val="00324880"/>
    <w:rsid w:val="00324EC9"/>
    <w:rsid w:val="00326923"/>
    <w:rsid w:val="00326ACA"/>
    <w:rsid w:val="00326B62"/>
    <w:rsid w:val="00326CFA"/>
    <w:rsid w:val="00326E72"/>
    <w:rsid w:val="0032714B"/>
    <w:rsid w:val="003275B9"/>
    <w:rsid w:val="00327CB3"/>
    <w:rsid w:val="00331404"/>
    <w:rsid w:val="00331603"/>
    <w:rsid w:val="00331731"/>
    <w:rsid w:val="00331A54"/>
    <w:rsid w:val="00331BFE"/>
    <w:rsid w:val="00332031"/>
    <w:rsid w:val="00332221"/>
    <w:rsid w:val="0033237E"/>
    <w:rsid w:val="003327DD"/>
    <w:rsid w:val="00332F0A"/>
    <w:rsid w:val="00333C5C"/>
    <w:rsid w:val="00333FC4"/>
    <w:rsid w:val="00334092"/>
    <w:rsid w:val="003343C1"/>
    <w:rsid w:val="00335FA7"/>
    <w:rsid w:val="0033678B"/>
    <w:rsid w:val="003374BF"/>
    <w:rsid w:val="00337783"/>
    <w:rsid w:val="003379D5"/>
    <w:rsid w:val="00337A2D"/>
    <w:rsid w:val="003404C4"/>
    <w:rsid w:val="00340594"/>
    <w:rsid w:val="0034067B"/>
    <w:rsid w:val="003406E2"/>
    <w:rsid w:val="00341AC8"/>
    <w:rsid w:val="00341DB3"/>
    <w:rsid w:val="0034213D"/>
    <w:rsid w:val="00342CC3"/>
    <w:rsid w:val="00342F5F"/>
    <w:rsid w:val="00343797"/>
    <w:rsid w:val="00343E2B"/>
    <w:rsid w:val="00344797"/>
    <w:rsid w:val="003448A9"/>
    <w:rsid w:val="00344BE0"/>
    <w:rsid w:val="00344FC8"/>
    <w:rsid w:val="00345022"/>
    <w:rsid w:val="003457FF"/>
    <w:rsid w:val="00345BDF"/>
    <w:rsid w:val="00346263"/>
    <w:rsid w:val="003464E6"/>
    <w:rsid w:val="00346B54"/>
    <w:rsid w:val="00346EE6"/>
    <w:rsid w:val="003477F4"/>
    <w:rsid w:val="003504DA"/>
    <w:rsid w:val="0035058F"/>
    <w:rsid w:val="00350994"/>
    <w:rsid w:val="00350CC3"/>
    <w:rsid w:val="00351F45"/>
    <w:rsid w:val="00352326"/>
    <w:rsid w:val="003529EC"/>
    <w:rsid w:val="003541E1"/>
    <w:rsid w:val="00354208"/>
    <w:rsid w:val="0035480A"/>
    <w:rsid w:val="00354C5F"/>
    <w:rsid w:val="00354FDD"/>
    <w:rsid w:val="00355A62"/>
    <w:rsid w:val="00355A89"/>
    <w:rsid w:val="00355E02"/>
    <w:rsid w:val="00356069"/>
    <w:rsid w:val="003560B8"/>
    <w:rsid w:val="0035697E"/>
    <w:rsid w:val="00356B38"/>
    <w:rsid w:val="00360799"/>
    <w:rsid w:val="003607F0"/>
    <w:rsid w:val="00360A1B"/>
    <w:rsid w:val="00360E7C"/>
    <w:rsid w:val="00363AB9"/>
    <w:rsid w:val="00363DC2"/>
    <w:rsid w:val="0036462E"/>
    <w:rsid w:val="00364B6F"/>
    <w:rsid w:val="00364BA4"/>
    <w:rsid w:val="00364BF5"/>
    <w:rsid w:val="00364DF7"/>
    <w:rsid w:val="003660A8"/>
    <w:rsid w:val="003665EE"/>
    <w:rsid w:val="00366B95"/>
    <w:rsid w:val="00366F57"/>
    <w:rsid w:val="003672DE"/>
    <w:rsid w:val="00367675"/>
    <w:rsid w:val="00370CB3"/>
    <w:rsid w:val="00370DC9"/>
    <w:rsid w:val="003715CB"/>
    <w:rsid w:val="0037198B"/>
    <w:rsid w:val="00371B65"/>
    <w:rsid w:val="00371C96"/>
    <w:rsid w:val="003721FD"/>
    <w:rsid w:val="003722A8"/>
    <w:rsid w:val="00372739"/>
    <w:rsid w:val="00372CD6"/>
    <w:rsid w:val="00372E27"/>
    <w:rsid w:val="00372EC5"/>
    <w:rsid w:val="00372F65"/>
    <w:rsid w:val="003732B9"/>
    <w:rsid w:val="00373B79"/>
    <w:rsid w:val="00373D8B"/>
    <w:rsid w:val="00373EFA"/>
    <w:rsid w:val="00374EE3"/>
    <w:rsid w:val="00375452"/>
    <w:rsid w:val="003754BD"/>
    <w:rsid w:val="003759B4"/>
    <w:rsid w:val="00375DCE"/>
    <w:rsid w:val="00376A75"/>
    <w:rsid w:val="00376AD4"/>
    <w:rsid w:val="00376EAE"/>
    <w:rsid w:val="003770FA"/>
    <w:rsid w:val="003775FB"/>
    <w:rsid w:val="00377A07"/>
    <w:rsid w:val="00377CC0"/>
    <w:rsid w:val="00377E7D"/>
    <w:rsid w:val="00377FC1"/>
    <w:rsid w:val="0038016D"/>
    <w:rsid w:val="00380232"/>
    <w:rsid w:val="00380839"/>
    <w:rsid w:val="003817D2"/>
    <w:rsid w:val="00381851"/>
    <w:rsid w:val="00381D32"/>
    <w:rsid w:val="003821A0"/>
    <w:rsid w:val="003826C6"/>
    <w:rsid w:val="00382B28"/>
    <w:rsid w:val="00382B43"/>
    <w:rsid w:val="00382CCE"/>
    <w:rsid w:val="003836BB"/>
    <w:rsid w:val="00384125"/>
    <w:rsid w:val="003842C8"/>
    <w:rsid w:val="003843F1"/>
    <w:rsid w:val="00384A65"/>
    <w:rsid w:val="00385F45"/>
    <w:rsid w:val="00387E94"/>
    <w:rsid w:val="00387F01"/>
    <w:rsid w:val="00390880"/>
    <w:rsid w:val="00391FD4"/>
    <w:rsid w:val="003929D5"/>
    <w:rsid w:val="00392B21"/>
    <w:rsid w:val="0039303C"/>
    <w:rsid w:val="00393222"/>
    <w:rsid w:val="00393D1F"/>
    <w:rsid w:val="00394C1C"/>
    <w:rsid w:val="00394FBD"/>
    <w:rsid w:val="00395185"/>
    <w:rsid w:val="00395569"/>
    <w:rsid w:val="003960C4"/>
    <w:rsid w:val="0039642D"/>
    <w:rsid w:val="00396E9D"/>
    <w:rsid w:val="00397335"/>
    <w:rsid w:val="00397924"/>
    <w:rsid w:val="00397ACE"/>
    <w:rsid w:val="00397B0C"/>
    <w:rsid w:val="00397BC7"/>
    <w:rsid w:val="00397D6B"/>
    <w:rsid w:val="003A0614"/>
    <w:rsid w:val="003A0826"/>
    <w:rsid w:val="003A088E"/>
    <w:rsid w:val="003A0BF6"/>
    <w:rsid w:val="003A0CDC"/>
    <w:rsid w:val="003A0F1A"/>
    <w:rsid w:val="003A1504"/>
    <w:rsid w:val="003A25C6"/>
    <w:rsid w:val="003A3033"/>
    <w:rsid w:val="003A30AB"/>
    <w:rsid w:val="003A33E6"/>
    <w:rsid w:val="003A3957"/>
    <w:rsid w:val="003A40F0"/>
    <w:rsid w:val="003A434D"/>
    <w:rsid w:val="003A5156"/>
    <w:rsid w:val="003A6C42"/>
    <w:rsid w:val="003A6D6D"/>
    <w:rsid w:val="003A799F"/>
    <w:rsid w:val="003B007C"/>
    <w:rsid w:val="003B0599"/>
    <w:rsid w:val="003B0840"/>
    <w:rsid w:val="003B10C6"/>
    <w:rsid w:val="003B185C"/>
    <w:rsid w:val="003B198B"/>
    <w:rsid w:val="003B1C0D"/>
    <w:rsid w:val="003B1DBA"/>
    <w:rsid w:val="003B1F57"/>
    <w:rsid w:val="003B20EC"/>
    <w:rsid w:val="003B3265"/>
    <w:rsid w:val="003B3A14"/>
    <w:rsid w:val="003B3C62"/>
    <w:rsid w:val="003B40FA"/>
    <w:rsid w:val="003B4DCC"/>
    <w:rsid w:val="003B512E"/>
    <w:rsid w:val="003B5C91"/>
    <w:rsid w:val="003B61D8"/>
    <w:rsid w:val="003B6515"/>
    <w:rsid w:val="003B6886"/>
    <w:rsid w:val="003B6CF9"/>
    <w:rsid w:val="003B6F7E"/>
    <w:rsid w:val="003B720B"/>
    <w:rsid w:val="003B7775"/>
    <w:rsid w:val="003B7DE4"/>
    <w:rsid w:val="003C0504"/>
    <w:rsid w:val="003C176C"/>
    <w:rsid w:val="003C1D58"/>
    <w:rsid w:val="003C21E7"/>
    <w:rsid w:val="003C23BD"/>
    <w:rsid w:val="003C289D"/>
    <w:rsid w:val="003C2D06"/>
    <w:rsid w:val="003C2E81"/>
    <w:rsid w:val="003C33FF"/>
    <w:rsid w:val="003C34DD"/>
    <w:rsid w:val="003C3E33"/>
    <w:rsid w:val="003C427B"/>
    <w:rsid w:val="003C4A21"/>
    <w:rsid w:val="003C54FE"/>
    <w:rsid w:val="003C5971"/>
    <w:rsid w:val="003C5DC8"/>
    <w:rsid w:val="003C636B"/>
    <w:rsid w:val="003C6868"/>
    <w:rsid w:val="003C6A54"/>
    <w:rsid w:val="003C7960"/>
    <w:rsid w:val="003D0255"/>
    <w:rsid w:val="003D04A2"/>
    <w:rsid w:val="003D0512"/>
    <w:rsid w:val="003D113A"/>
    <w:rsid w:val="003D196F"/>
    <w:rsid w:val="003D1B5F"/>
    <w:rsid w:val="003D1BFF"/>
    <w:rsid w:val="003D20A7"/>
    <w:rsid w:val="003D2173"/>
    <w:rsid w:val="003D257B"/>
    <w:rsid w:val="003D35BF"/>
    <w:rsid w:val="003D36BE"/>
    <w:rsid w:val="003D3A5F"/>
    <w:rsid w:val="003D42C9"/>
    <w:rsid w:val="003D4581"/>
    <w:rsid w:val="003D470A"/>
    <w:rsid w:val="003D4799"/>
    <w:rsid w:val="003D47D7"/>
    <w:rsid w:val="003D6690"/>
    <w:rsid w:val="003D67A1"/>
    <w:rsid w:val="003D6843"/>
    <w:rsid w:val="003D6C65"/>
    <w:rsid w:val="003D768E"/>
    <w:rsid w:val="003D7A68"/>
    <w:rsid w:val="003D7E04"/>
    <w:rsid w:val="003D7E46"/>
    <w:rsid w:val="003E0C7C"/>
    <w:rsid w:val="003E2113"/>
    <w:rsid w:val="003E2ED8"/>
    <w:rsid w:val="003E32CD"/>
    <w:rsid w:val="003E3B4F"/>
    <w:rsid w:val="003E3B98"/>
    <w:rsid w:val="003E3F75"/>
    <w:rsid w:val="003E40A8"/>
    <w:rsid w:val="003E4430"/>
    <w:rsid w:val="003E443D"/>
    <w:rsid w:val="003E490E"/>
    <w:rsid w:val="003E4A39"/>
    <w:rsid w:val="003E4D2B"/>
    <w:rsid w:val="003E4E8A"/>
    <w:rsid w:val="003E4FDC"/>
    <w:rsid w:val="003E51CD"/>
    <w:rsid w:val="003E6653"/>
    <w:rsid w:val="003E7B21"/>
    <w:rsid w:val="003E7CC5"/>
    <w:rsid w:val="003F00E1"/>
    <w:rsid w:val="003F0A37"/>
    <w:rsid w:val="003F0B5B"/>
    <w:rsid w:val="003F1707"/>
    <w:rsid w:val="003F186E"/>
    <w:rsid w:val="003F2551"/>
    <w:rsid w:val="003F37D5"/>
    <w:rsid w:val="003F3B09"/>
    <w:rsid w:val="003F3F52"/>
    <w:rsid w:val="003F4384"/>
    <w:rsid w:val="003F48F1"/>
    <w:rsid w:val="003F4966"/>
    <w:rsid w:val="003F4AA4"/>
    <w:rsid w:val="003F4B35"/>
    <w:rsid w:val="003F4CCD"/>
    <w:rsid w:val="003F51E5"/>
    <w:rsid w:val="003F5887"/>
    <w:rsid w:val="003F5BFC"/>
    <w:rsid w:val="003F6777"/>
    <w:rsid w:val="003F6A1D"/>
    <w:rsid w:val="003F7340"/>
    <w:rsid w:val="003F7677"/>
    <w:rsid w:val="003F7AF6"/>
    <w:rsid w:val="0040063B"/>
    <w:rsid w:val="00400FC2"/>
    <w:rsid w:val="00401FE1"/>
    <w:rsid w:val="004022B9"/>
    <w:rsid w:val="004024FE"/>
    <w:rsid w:val="00402E16"/>
    <w:rsid w:val="004032D5"/>
    <w:rsid w:val="0040410C"/>
    <w:rsid w:val="004041E7"/>
    <w:rsid w:val="00404D2C"/>
    <w:rsid w:val="0040515C"/>
    <w:rsid w:val="00405FAC"/>
    <w:rsid w:val="00406644"/>
    <w:rsid w:val="00406B1C"/>
    <w:rsid w:val="004073C8"/>
    <w:rsid w:val="004076FD"/>
    <w:rsid w:val="00407D3F"/>
    <w:rsid w:val="004100E2"/>
    <w:rsid w:val="00410222"/>
    <w:rsid w:val="0041278A"/>
    <w:rsid w:val="00412D0F"/>
    <w:rsid w:val="00412F00"/>
    <w:rsid w:val="00412F7A"/>
    <w:rsid w:val="004130B6"/>
    <w:rsid w:val="0041315D"/>
    <w:rsid w:val="0041328F"/>
    <w:rsid w:val="0041360A"/>
    <w:rsid w:val="00413C01"/>
    <w:rsid w:val="0041450C"/>
    <w:rsid w:val="004145FA"/>
    <w:rsid w:val="00414A77"/>
    <w:rsid w:val="00414F69"/>
    <w:rsid w:val="00415886"/>
    <w:rsid w:val="00415F82"/>
    <w:rsid w:val="0041625D"/>
    <w:rsid w:val="004163D4"/>
    <w:rsid w:val="00416B57"/>
    <w:rsid w:val="00417450"/>
    <w:rsid w:val="004176B2"/>
    <w:rsid w:val="0042043F"/>
    <w:rsid w:val="00420569"/>
    <w:rsid w:val="00421062"/>
    <w:rsid w:val="0042165B"/>
    <w:rsid w:val="0042200C"/>
    <w:rsid w:val="00422020"/>
    <w:rsid w:val="00422430"/>
    <w:rsid w:val="0042268C"/>
    <w:rsid w:val="00422BE6"/>
    <w:rsid w:val="004233C2"/>
    <w:rsid w:val="004239CF"/>
    <w:rsid w:val="00423BBE"/>
    <w:rsid w:val="00423F0C"/>
    <w:rsid w:val="00424555"/>
    <w:rsid w:val="004248D6"/>
    <w:rsid w:val="004249CE"/>
    <w:rsid w:val="0042551D"/>
    <w:rsid w:val="0042551F"/>
    <w:rsid w:val="00425AD5"/>
    <w:rsid w:val="00425DC8"/>
    <w:rsid w:val="00426454"/>
    <w:rsid w:val="00426981"/>
    <w:rsid w:val="00426BAF"/>
    <w:rsid w:val="00427101"/>
    <w:rsid w:val="0042727C"/>
    <w:rsid w:val="004278D6"/>
    <w:rsid w:val="00427A94"/>
    <w:rsid w:val="00427CF2"/>
    <w:rsid w:val="00430881"/>
    <w:rsid w:val="00431780"/>
    <w:rsid w:val="00431993"/>
    <w:rsid w:val="00431D05"/>
    <w:rsid w:val="00432507"/>
    <w:rsid w:val="004325EA"/>
    <w:rsid w:val="00432AC2"/>
    <w:rsid w:val="00432D9A"/>
    <w:rsid w:val="00432DCE"/>
    <w:rsid w:val="00433223"/>
    <w:rsid w:val="0043370C"/>
    <w:rsid w:val="00434184"/>
    <w:rsid w:val="004347F3"/>
    <w:rsid w:val="00434BB8"/>
    <w:rsid w:val="004352EC"/>
    <w:rsid w:val="0043594F"/>
    <w:rsid w:val="004359F0"/>
    <w:rsid w:val="00436661"/>
    <w:rsid w:val="004366F5"/>
    <w:rsid w:val="0043717C"/>
    <w:rsid w:val="00437E0E"/>
    <w:rsid w:val="00440560"/>
    <w:rsid w:val="004410F8"/>
    <w:rsid w:val="0044150D"/>
    <w:rsid w:val="00441673"/>
    <w:rsid w:val="004418FB"/>
    <w:rsid w:val="00441A72"/>
    <w:rsid w:val="00441B01"/>
    <w:rsid w:val="00441B57"/>
    <w:rsid w:val="004420CC"/>
    <w:rsid w:val="00442325"/>
    <w:rsid w:val="004428A0"/>
    <w:rsid w:val="00442AA6"/>
    <w:rsid w:val="00442CDF"/>
    <w:rsid w:val="004433E6"/>
    <w:rsid w:val="0044473B"/>
    <w:rsid w:val="0044558C"/>
    <w:rsid w:val="004457DA"/>
    <w:rsid w:val="00446079"/>
    <w:rsid w:val="0044649E"/>
    <w:rsid w:val="0044651C"/>
    <w:rsid w:val="00447DEC"/>
    <w:rsid w:val="00450A0D"/>
    <w:rsid w:val="0045113C"/>
    <w:rsid w:val="0045181D"/>
    <w:rsid w:val="00451BC0"/>
    <w:rsid w:val="00451E4A"/>
    <w:rsid w:val="00452D11"/>
    <w:rsid w:val="004548B6"/>
    <w:rsid w:val="00455104"/>
    <w:rsid w:val="00455410"/>
    <w:rsid w:val="00455A48"/>
    <w:rsid w:val="00455C48"/>
    <w:rsid w:val="00455D03"/>
    <w:rsid w:val="00455FAE"/>
    <w:rsid w:val="00456AEF"/>
    <w:rsid w:val="004572B9"/>
    <w:rsid w:val="004575C4"/>
    <w:rsid w:val="00457DB5"/>
    <w:rsid w:val="00460095"/>
    <w:rsid w:val="00460524"/>
    <w:rsid w:val="0046081A"/>
    <w:rsid w:val="00461091"/>
    <w:rsid w:val="004610DB"/>
    <w:rsid w:val="004611F9"/>
    <w:rsid w:val="004618C0"/>
    <w:rsid w:val="00462583"/>
    <w:rsid w:val="00462C0F"/>
    <w:rsid w:val="00462F3E"/>
    <w:rsid w:val="004630B2"/>
    <w:rsid w:val="004632F2"/>
    <w:rsid w:val="00463484"/>
    <w:rsid w:val="004638C6"/>
    <w:rsid w:val="00463A6A"/>
    <w:rsid w:val="00463BBF"/>
    <w:rsid w:val="0046406D"/>
    <w:rsid w:val="004643AA"/>
    <w:rsid w:val="00464528"/>
    <w:rsid w:val="00466077"/>
    <w:rsid w:val="004662FA"/>
    <w:rsid w:val="004663C6"/>
    <w:rsid w:val="004664B6"/>
    <w:rsid w:val="00466698"/>
    <w:rsid w:val="004675F2"/>
    <w:rsid w:val="00470193"/>
    <w:rsid w:val="0047279E"/>
    <w:rsid w:val="004731E4"/>
    <w:rsid w:val="00473719"/>
    <w:rsid w:val="0047373F"/>
    <w:rsid w:val="00474BC1"/>
    <w:rsid w:val="00474E31"/>
    <w:rsid w:val="00474E33"/>
    <w:rsid w:val="00475386"/>
    <w:rsid w:val="00475932"/>
    <w:rsid w:val="00475C0D"/>
    <w:rsid w:val="00475DF0"/>
    <w:rsid w:val="00475F1D"/>
    <w:rsid w:val="00476016"/>
    <w:rsid w:val="00476025"/>
    <w:rsid w:val="00476A78"/>
    <w:rsid w:val="00476AC9"/>
    <w:rsid w:val="00476B2B"/>
    <w:rsid w:val="004808CD"/>
    <w:rsid w:val="00481159"/>
    <w:rsid w:val="004812C4"/>
    <w:rsid w:val="00481574"/>
    <w:rsid w:val="004819CA"/>
    <w:rsid w:val="004819DB"/>
    <w:rsid w:val="0048274A"/>
    <w:rsid w:val="004829F6"/>
    <w:rsid w:val="00482C99"/>
    <w:rsid w:val="00482DD7"/>
    <w:rsid w:val="004830E5"/>
    <w:rsid w:val="004831C5"/>
    <w:rsid w:val="0048334A"/>
    <w:rsid w:val="004833FD"/>
    <w:rsid w:val="00483503"/>
    <w:rsid w:val="004837D5"/>
    <w:rsid w:val="004837EB"/>
    <w:rsid w:val="00484C4B"/>
    <w:rsid w:val="0048560C"/>
    <w:rsid w:val="00485BED"/>
    <w:rsid w:val="00486494"/>
    <w:rsid w:val="00486731"/>
    <w:rsid w:val="00487095"/>
    <w:rsid w:val="00487CD3"/>
    <w:rsid w:val="00490EE6"/>
    <w:rsid w:val="004911C2"/>
    <w:rsid w:val="00491255"/>
    <w:rsid w:val="0049160C"/>
    <w:rsid w:val="00491DD2"/>
    <w:rsid w:val="0049284B"/>
    <w:rsid w:val="0049286A"/>
    <w:rsid w:val="004928A1"/>
    <w:rsid w:val="00492920"/>
    <w:rsid w:val="00492A02"/>
    <w:rsid w:val="00493005"/>
    <w:rsid w:val="004931C4"/>
    <w:rsid w:val="0049347D"/>
    <w:rsid w:val="0049372C"/>
    <w:rsid w:val="00493DBF"/>
    <w:rsid w:val="00494557"/>
    <w:rsid w:val="00495093"/>
    <w:rsid w:val="0049553D"/>
    <w:rsid w:val="00495780"/>
    <w:rsid w:val="00495921"/>
    <w:rsid w:val="00495E07"/>
    <w:rsid w:val="00495E81"/>
    <w:rsid w:val="00496071"/>
    <w:rsid w:val="00496E6F"/>
    <w:rsid w:val="004977F3"/>
    <w:rsid w:val="00497FED"/>
    <w:rsid w:val="004A0144"/>
    <w:rsid w:val="004A2090"/>
    <w:rsid w:val="004A255B"/>
    <w:rsid w:val="004A257E"/>
    <w:rsid w:val="004A26A2"/>
    <w:rsid w:val="004A3455"/>
    <w:rsid w:val="004A3556"/>
    <w:rsid w:val="004A3AC9"/>
    <w:rsid w:val="004A4035"/>
    <w:rsid w:val="004A41DD"/>
    <w:rsid w:val="004A4801"/>
    <w:rsid w:val="004A559D"/>
    <w:rsid w:val="004A5CE9"/>
    <w:rsid w:val="004A5D1E"/>
    <w:rsid w:val="004A5D78"/>
    <w:rsid w:val="004A784A"/>
    <w:rsid w:val="004A79E6"/>
    <w:rsid w:val="004B06C6"/>
    <w:rsid w:val="004B0D78"/>
    <w:rsid w:val="004B15AA"/>
    <w:rsid w:val="004B174F"/>
    <w:rsid w:val="004B1AC3"/>
    <w:rsid w:val="004B200F"/>
    <w:rsid w:val="004B2081"/>
    <w:rsid w:val="004B229B"/>
    <w:rsid w:val="004B2576"/>
    <w:rsid w:val="004B27F4"/>
    <w:rsid w:val="004B284D"/>
    <w:rsid w:val="004B3B02"/>
    <w:rsid w:val="004B3F36"/>
    <w:rsid w:val="004B43EE"/>
    <w:rsid w:val="004B44F9"/>
    <w:rsid w:val="004B457C"/>
    <w:rsid w:val="004B4953"/>
    <w:rsid w:val="004B5099"/>
    <w:rsid w:val="004B5379"/>
    <w:rsid w:val="004B55F3"/>
    <w:rsid w:val="004B5B6D"/>
    <w:rsid w:val="004B6641"/>
    <w:rsid w:val="004B7C15"/>
    <w:rsid w:val="004C0813"/>
    <w:rsid w:val="004C0BDD"/>
    <w:rsid w:val="004C0D9C"/>
    <w:rsid w:val="004C1516"/>
    <w:rsid w:val="004C1849"/>
    <w:rsid w:val="004C2512"/>
    <w:rsid w:val="004C39A5"/>
    <w:rsid w:val="004C3CEB"/>
    <w:rsid w:val="004C408D"/>
    <w:rsid w:val="004C4688"/>
    <w:rsid w:val="004C4AAC"/>
    <w:rsid w:val="004C5CA5"/>
    <w:rsid w:val="004C5D46"/>
    <w:rsid w:val="004C606F"/>
    <w:rsid w:val="004C6443"/>
    <w:rsid w:val="004C6BBA"/>
    <w:rsid w:val="004C6D0D"/>
    <w:rsid w:val="004C7517"/>
    <w:rsid w:val="004C79EF"/>
    <w:rsid w:val="004D063C"/>
    <w:rsid w:val="004D08E8"/>
    <w:rsid w:val="004D0A80"/>
    <w:rsid w:val="004D0C74"/>
    <w:rsid w:val="004D1036"/>
    <w:rsid w:val="004D11DD"/>
    <w:rsid w:val="004D156A"/>
    <w:rsid w:val="004D1906"/>
    <w:rsid w:val="004D372E"/>
    <w:rsid w:val="004D42AA"/>
    <w:rsid w:val="004D4B3C"/>
    <w:rsid w:val="004D50A4"/>
    <w:rsid w:val="004D51E2"/>
    <w:rsid w:val="004D51E5"/>
    <w:rsid w:val="004D55EA"/>
    <w:rsid w:val="004D5E36"/>
    <w:rsid w:val="004D6468"/>
    <w:rsid w:val="004D74D4"/>
    <w:rsid w:val="004D7DC1"/>
    <w:rsid w:val="004E05D7"/>
    <w:rsid w:val="004E068E"/>
    <w:rsid w:val="004E07B7"/>
    <w:rsid w:val="004E4CA9"/>
    <w:rsid w:val="004E531D"/>
    <w:rsid w:val="004E5635"/>
    <w:rsid w:val="004E5CC2"/>
    <w:rsid w:val="004E6DD5"/>
    <w:rsid w:val="004E7BEB"/>
    <w:rsid w:val="004E7CF4"/>
    <w:rsid w:val="004F03D4"/>
    <w:rsid w:val="004F0614"/>
    <w:rsid w:val="004F0741"/>
    <w:rsid w:val="004F1818"/>
    <w:rsid w:val="004F1886"/>
    <w:rsid w:val="004F226D"/>
    <w:rsid w:val="004F26D3"/>
    <w:rsid w:val="004F3125"/>
    <w:rsid w:val="004F315C"/>
    <w:rsid w:val="004F3C81"/>
    <w:rsid w:val="004F3CDD"/>
    <w:rsid w:val="004F3ED5"/>
    <w:rsid w:val="004F3F7D"/>
    <w:rsid w:val="004F446C"/>
    <w:rsid w:val="004F4888"/>
    <w:rsid w:val="004F4B6E"/>
    <w:rsid w:val="004F4D05"/>
    <w:rsid w:val="004F4D6E"/>
    <w:rsid w:val="004F4F80"/>
    <w:rsid w:val="004F5232"/>
    <w:rsid w:val="004F529A"/>
    <w:rsid w:val="004F5407"/>
    <w:rsid w:val="004F5756"/>
    <w:rsid w:val="004F5EA5"/>
    <w:rsid w:val="004F6B2B"/>
    <w:rsid w:val="004F6D2E"/>
    <w:rsid w:val="004F74B6"/>
    <w:rsid w:val="004F7A8C"/>
    <w:rsid w:val="004F7F21"/>
    <w:rsid w:val="00500050"/>
    <w:rsid w:val="00500203"/>
    <w:rsid w:val="00500934"/>
    <w:rsid w:val="005009AE"/>
    <w:rsid w:val="0050142B"/>
    <w:rsid w:val="00501D4E"/>
    <w:rsid w:val="00501FF2"/>
    <w:rsid w:val="00502B0B"/>
    <w:rsid w:val="00503017"/>
    <w:rsid w:val="005033FD"/>
    <w:rsid w:val="00503523"/>
    <w:rsid w:val="005036A7"/>
    <w:rsid w:val="00503991"/>
    <w:rsid w:val="00503F46"/>
    <w:rsid w:val="0050485A"/>
    <w:rsid w:val="00504883"/>
    <w:rsid w:val="00504AAE"/>
    <w:rsid w:val="00505256"/>
    <w:rsid w:val="005053EB"/>
    <w:rsid w:val="0050571D"/>
    <w:rsid w:val="00505947"/>
    <w:rsid w:val="00505A1E"/>
    <w:rsid w:val="00506058"/>
    <w:rsid w:val="00506171"/>
    <w:rsid w:val="005061A6"/>
    <w:rsid w:val="00506F3D"/>
    <w:rsid w:val="005102BD"/>
    <w:rsid w:val="00510426"/>
    <w:rsid w:val="00510A67"/>
    <w:rsid w:val="00511436"/>
    <w:rsid w:val="00511F0C"/>
    <w:rsid w:val="00511F11"/>
    <w:rsid w:val="00511FF6"/>
    <w:rsid w:val="00512135"/>
    <w:rsid w:val="005122D3"/>
    <w:rsid w:val="005125B9"/>
    <w:rsid w:val="005125FA"/>
    <w:rsid w:val="00512B65"/>
    <w:rsid w:val="00512C39"/>
    <w:rsid w:val="005137D0"/>
    <w:rsid w:val="00514987"/>
    <w:rsid w:val="00515123"/>
    <w:rsid w:val="005155A7"/>
    <w:rsid w:val="00516436"/>
    <w:rsid w:val="005171B4"/>
    <w:rsid w:val="0051777C"/>
    <w:rsid w:val="00522873"/>
    <w:rsid w:val="005228F8"/>
    <w:rsid w:val="00522BEE"/>
    <w:rsid w:val="00523AE2"/>
    <w:rsid w:val="00523C0B"/>
    <w:rsid w:val="00523FD9"/>
    <w:rsid w:val="00524247"/>
    <w:rsid w:val="00524409"/>
    <w:rsid w:val="00524C83"/>
    <w:rsid w:val="00525223"/>
    <w:rsid w:val="005255E4"/>
    <w:rsid w:val="00526199"/>
    <w:rsid w:val="0052640E"/>
    <w:rsid w:val="005267FE"/>
    <w:rsid w:val="0052723E"/>
    <w:rsid w:val="00527827"/>
    <w:rsid w:val="00527CE7"/>
    <w:rsid w:val="00530060"/>
    <w:rsid w:val="005301DB"/>
    <w:rsid w:val="00530682"/>
    <w:rsid w:val="00530F16"/>
    <w:rsid w:val="005318CF"/>
    <w:rsid w:val="005318D3"/>
    <w:rsid w:val="0053202B"/>
    <w:rsid w:val="00532130"/>
    <w:rsid w:val="005326F2"/>
    <w:rsid w:val="00532876"/>
    <w:rsid w:val="00532A1F"/>
    <w:rsid w:val="00532B83"/>
    <w:rsid w:val="0053304F"/>
    <w:rsid w:val="00533CE7"/>
    <w:rsid w:val="00533D9B"/>
    <w:rsid w:val="0053461C"/>
    <w:rsid w:val="00534660"/>
    <w:rsid w:val="00535BC2"/>
    <w:rsid w:val="005361BF"/>
    <w:rsid w:val="005365F0"/>
    <w:rsid w:val="00537749"/>
    <w:rsid w:val="005404EF"/>
    <w:rsid w:val="00540A31"/>
    <w:rsid w:val="005410E8"/>
    <w:rsid w:val="00541690"/>
    <w:rsid w:val="005417BF"/>
    <w:rsid w:val="00542BF9"/>
    <w:rsid w:val="00542D13"/>
    <w:rsid w:val="005435B8"/>
    <w:rsid w:val="00543F00"/>
    <w:rsid w:val="005440AF"/>
    <w:rsid w:val="005441CE"/>
    <w:rsid w:val="0054434B"/>
    <w:rsid w:val="00545399"/>
    <w:rsid w:val="00545481"/>
    <w:rsid w:val="00545EDE"/>
    <w:rsid w:val="00545F46"/>
    <w:rsid w:val="00546699"/>
    <w:rsid w:val="00546DEB"/>
    <w:rsid w:val="00546E3F"/>
    <w:rsid w:val="005470A8"/>
    <w:rsid w:val="00547187"/>
    <w:rsid w:val="005473FD"/>
    <w:rsid w:val="00550969"/>
    <w:rsid w:val="00550BD4"/>
    <w:rsid w:val="00550C90"/>
    <w:rsid w:val="00550DAD"/>
    <w:rsid w:val="00550EA4"/>
    <w:rsid w:val="00550F19"/>
    <w:rsid w:val="00551280"/>
    <w:rsid w:val="005516F3"/>
    <w:rsid w:val="005519B8"/>
    <w:rsid w:val="00551FBE"/>
    <w:rsid w:val="005520F7"/>
    <w:rsid w:val="00552548"/>
    <w:rsid w:val="00552550"/>
    <w:rsid w:val="005525A3"/>
    <w:rsid w:val="0055263A"/>
    <w:rsid w:val="0055312A"/>
    <w:rsid w:val="0055336D"/>
    <w:rsid w:val="005539BF"/>
    <w:rsid w:val="00553BA1"/>
    <w:rsid w:val="00553D8F"/>
    <w:rsid w:val="00554346"/>
    <w:rsid w:val="005559C1"/>
    <w:rsid w:val="005560FE"/>
    <w:rsid w:val="00556303"/>
    <w:rsid w:val="005567D9"/>
    <w:rsid w:val="00556934"/>
    <w:rsid w:val="005572E1"/>
    <w:rsid w:val="00557ABE"/>
    <w:rsid w:val="00557B23"/>
    <w:rsid w:val="0056016D"/>
    <w:rsid w:val="00560198"/>
    <w:rsid w:val="00560468"/>
    <w:rsid w:val="00560797"/>
    <w:rsid w:val="005613DD"/>
    <w:rsid w:val="005615A2"/>
    <w:rsid w:val="005616C7"/>
    <w:rsid w:val="00561A4C"/>
    <w:rsid w:val="00561A73"/>
    <w:rsid w:val="0056228D"/>
    <w:rsid w:val="005625D2"/>
    <w:rsid w:val="00562743"/>
    <w:rsid w:val="00563223"/>
    <w:rsid w:val="005632B8"/>
    <w:rsid w:val="0056335C"/>
    <w:rsid w:val="00563547"/>
    <w:rsid w:val="005636AA"/>
    <w:rsid w:val="00563B2A"/>
    <w:rsid w:val="00563FCF"/>
    <w:rsid w:val="005644F3"/>
    <w:rsid w:val="00564A7E"/>
    <w:rsid w:val="00564C3B"/>
    <w:rsid w:val="00564C67"/>
    <w:rsid w:val="00565BEB"/>
    <w:rsid w:val="00566157"/>
    <w:rsid w:val="0056650D"/>
    <w:rsid w:val="0056679B"/>
    <w:rsid w:val="00566867"/>
    <w:rsid w:val="00566C1B"/>
    <w:rsid w:val="005672D2"/>
    <w:rsid w:val="005705D8"/>
    <w:rsid w:val="0057220D"/>
    <w:rsid w:val="00573108"/>
    <w:rsid w:val="00573143"/>
    <w:rsid w:val="005732AC"/>
    <w:rsid w:val="005735FA"/>
    <w:rsid w:val="00573D0D"/>
    <w:rsid w:val="00577345"/>
    <w:rsid w:val="00577B85"/>
    <w:rsid w:val="00577EB0"/>
    <w:rsid w:val="0058023C"/>
    <w:rsid w:val="00581736"/>
    <w:rsid w:val="0058206C"/>
    <w:rsid w:val="005820AA"/>
    <w:rsid w:val="00582C7E"/>
    <w:rsid w:val="00583815"/>
    <w:rsid w:val="00584885"/>
    <w:rsid w:val="00584F63"/>
    <w:rsid w:val="00585899"/>
    <w:rsid w:val="005861C8"/>
    <w:rsid w:val="00587236"/>
    <w:rsid w:val="0059017A"/>
    <w:rsid w:val="005908D6"/>
    <w:rsid w:val="005910B3"/>
    <w:rsid w:val="005914B4"/>
    <w:rsid w:val="00591C86"/>
    <w:rsid w:val="00591DBF"/>
    <w:rsid w:val="00592B3C"/>
    <w:rsid w:val="00592DD3"/>
    <w:rsid w:val="0059358A"/>
    <w:rsid w:val="00593B57"/>
    <w:rsid w:val="0059417B"/>
    <w:rsid w:val="00594771"/>
    <w:rsid w:val="00594C85"/>
    <w:rsid w:val="00594D1C"/>
    <w:rsid w:val="005951D8"/>
    <w:rsid w:val="00595AA4"/>
    <w:rsid w:val="00595C71"/>
    <w:rsid w:val="00595C80"/>
    <w:rsid w:val="00595CAE"/>
    <w:rsid w:val="00595D4A"/>
    <w:rsid w:val="00595EF1"/>
    <w:rsid w:val="00596068"/>
    <w:rsid w:val="005968BD"/>
    <w:rsid w:val="00596CFF"/>
    <w:rsid w:val="00597B9C"/>
    <w:rsid w:val="00597C32"/>
    <w:rsid w:val="005A018D"/>
    <w:rsid w:val="005A0802"/>
    <w:rsid w:val="005A0963"/>
    <w:rsid w:val="005A0C85"/>
    <w:rsid w:val="005A0CF6"/>
    <w:rsid w:val="005A1882"/>
    <w:rsid w:val="005A1F2B"/>
    <w:rsid w:val="005A354A"/>
    <w:rsid w:val="005A36AE"/>
    <w:rsid w:val="005A378C"/>
    <w:rsid w:val="005A4666"/>
    <w:rsid w:val="005A48D7"/>
    <w:rsid w:val="005A5708"/>
    <w:rsid w:val="005A6D83"/>
    <w:rsid w:val="005A74B4"/>
    <w:rsid w:val="005A79DF"/>
    <w:rsid w:val="005A7D7A"/>
    <w:rsid w:val="005B022A"/>
    <w:rsid w:val="005B1331"/>
    <w:rsid w:val="005B2310"/>
    <w:rsid w:val="005B2600"/>
    <w:rsid w:val="005B3108"/>
    <w:rsid w:val="005B3973"/>
    <w:rsid w:val="005B39D8"/>
    <w:rsid w:val="005B3BE2"/>
    <w:rsid w:val="005B3D0A"/>
    <w:rsid w:val="005B4ACE"/>
    <w:rsid w:val="005B4BB7"/>
    <w:rsid w:val="005B4C2D"/>
    <w:rsid w:val="005B58F0"/>
    <w:rsid w:val="005B59F2"/>
    <w:rsid w:val="005C098C"/>
    <w:rsid w:val="005C0AB6"/>
    <w:rsid w:val="005C1C09"/>
    <w:rsid w:val="005C256D"/>
    <w:rsid w:val="005C2E55"/>
    <w:rsid w:val="005C3634"/>
    <w:rsid w:val="005C36E0"/>
    <w:rsid w:val="005C3DB6"/>
    <w:rsid w:val="005C4058"/>
    <w:rsid w:val="005C43FF"/>
    <w:rsid w:val="005C5944"/>
    <w:rsid w:val="005C5B2A"/>
    <w:rsid w:val="005C5D4C"/>
    <w:rsid w:val="005C66E9"/>
    <w:rsid w:val="005C6D10"/>
    <w:rsid w:val="005C6E5A"/>
    <w:rsid w:val="005C7440"/>
    <w:rsid w:val="005D0082"/>
    <w:rsid w:val="005D05D3"/>
    <w:rsid w:val="005D0D9A"/>
    <w:rsid w:val="005D0EF9"/>
    <w:rsid w:val="005D1459"/>
    <w:rsid w:val="005D2005"/>
    <w:rsid w:val="005D2726"/>
    <w:rsid w:val="005D2DEA"/>
    <w:rsid w:val="005D3435"/>
    <w:rsid w:val="005D3AE3"/>
    <w:rsid w:val="005D3BE1"/>
    <w:rsid w:val="005D4128"/>
    <w:rsid w:val="005D4523"/>
    <w:rsid w:val="005D4877"/>
    <w:rsid w:val="005D4903"/>
    <w:rsid w:val="005D4B6D"/>
    <w:rsid w:val="005D5D2F"/>
    <w:rsid w:val="005D6317"/>
    <w:rsid w:val="005D676B"/>
    <w:rsid w:val="005D7885"/>
    <w:rsid w:val="005D7D05"/>
    <w:rsid w:val="005D7DE3"/>
    <w:rsid w:val="005E02D0"/>
    <w:rsid w:val="005E05DA"/>
    <w:rsid w:val="005E0820"/>
    <w:rsid w:val="005E1057"/>
    <w:rsid w:val="005E13F8"/>
    <w:rsid w:val="005E1EBA"/>
    <w:rsid w:val="005E20A3"/>
    <w:rsid w:val="005E2ABA"/>
    <w:rsid w:val="005E447F"/>
    <w:rsid w:val="005E4BD9"/>
    <w:rsid w:val="005E54FA"/>
    <w:rsid w:val="005E5C2B"/>
    <w:rsid w:val="005E61D7"/>
    <w:rsid w:val="005E6561"/>
    <w:rsid w:val="005E6640"/>
    <w:rsid w:val="005E694E"/>
    <w:rsid w:val="005E6C4D"/>
    <w:rsid w:val="005E7286"/>
    <w:rsid w:val="005E752A"/>
    <w:rsid w:val="005E7A77"/>
    <w:rsid w:val="005E7EA5"/>
    <w:rsid w:val="005F0061"/>
    <w:rsid w:val="005F17B6"/>
    <w:rsid w:val="005F1A1C"/>
    <w:rsid w:val="005F1AF0"/>
    <w:rsid w:val="005F2101"/>
    <w:rsid w:val="005F2C0C"/>
    <w:rsid w:val="005F2C58"/>
    <w:rsid w:val="005F2CC1"/>
    <w:rsid w:val="005F2CEC"/>
    <w:rsid w:val="005F2E8C"/>
    <w:rsid w:val="005F36EE"/>
    <w:rsid w:val="005F380D"/>
    <w:rsid w:val="005F3A9D"/>
    <w:rsid w:val="005F3EF0"/>
    <w:rsid w:val="005F4BD8"/>
    <w:rsid w:val="005F5504"/>
    <w:rsid w:val="005F60FF"/>
    <w:rsid w:val="005F6A9B"/>
    <w:rsid w:val="005F6BAE"/>
    <w:rsid w:val="005F6EBE"/>
    <w:rsid w:val="005F7443"/>
    <w:rsid w:val="005F7DAF"/>
    <w:rsid w:val="005F7DBF"/>
    <w:rsid w:val="0060023F"/>
    <w:rsid w:val="00600486"/>
    <w:rsid w:val="006005DA"/>
    <w:rsid w:val="0060087B"/>
    <w:rsid w:val="00600EB7"/>
    <w:rsid w:val="00600F8A"/>
    <w:rsid w:val="006012E5"/>
    <w:rsid w:val="006013CE"/>
    <w:rsid w:val="0060176A"/>
    <w:rsid w:val="00601D86"/>
    <w:rsid w:val="00602360"/>
    <w:rsid w:val="0060325A"/>
    <w:rsid w:val="00603A7C"/>
    <w:rsid w:val="00603B6D"/>
    <w:rsid w:val="006040E0"/>
    <w:rsid w:val="00604E31"/>
    <w:rsid w:val="00604FF8"/>
    <w:rsid w:val="006050D4"/>
    <w:rsid w:val="00605250"/>
    <w:rsid w:val="00605CBF"/>
    <w:rsid w:val="0060615F"/>
    <w:rsid w:val="00606704"/>
    <w:rsid w:val="00606BDE"/>
    <w:rsid w:val="006076CF"/>
    <w:rsid w:val="00607980"/>
    <w:rsid w:val="00607C6C"/>
    <w:rsid w:val="0061018C"/>
    <w:rsid w:val="00611006"/>
    <w:rsid w:val="00611763"/>
    <w:rsid w:val="006117C9"/>
    <w:rsid w:val="0061197F"/>
    <w:rsid w:val="00611C6A"/>
    <w:rsid w:val="0061236E"/>
    <w:rsid w:val="00612E57"/>
    <w:rsid w:val="006137EC"/>
    <w:rsid w:val="0061382D"/>
    <w:rsid w:val="00613AC8"/>
    <w:rsid w:val="00613CDA"/>
    <w:rsid w:val="00614323"/>
    <w:rsid w:val="006146D0"/>
    <w:rsid w:val="00614F06"/>
    <w:rsid w:val="00615081"/>
    <w:rsid w:val="00615D8B"/>
    <w:rsid w:val="00615F6C"/>
    <w:rsid w:val="00615FBF"/>
    <w:rsid w:val="00616103"/>
    <w:rsid w:val="0061650F"/>
    <w:rsid w:val="00616F45"/>
    <w:rsid w:val="00617AAD"/>
    <w:rsid w:val="006209A7"/>
    <w:rsid w:val="0062116E"/>
    <w:rsid w:val="00621173"/>
    <w:rsid w:val="00621662"/>
    <w:rsid w:val="0062166A"/>
    <w:rsid w:val="00621B5C"/>
    <w:rsid w:val="00621FB9"/>
    <w:rsid w:val="00621FEA"/>
    <w:rsid w:val="00622E1D"/>
    <w:rsid w:val="006233F1"/>
    <w:rsid w:val="006234BC"/>
    <w:rsid w:val="00623B83"/>
    <w:rsid w:val="00624029"/>
    <w:rsid w:val="00624128"/>
    <w:rsid w:val="0062452E"/>
    <w:rsid w:val="00624DF9"/>
    <w:rsid w:val="0062502B"/>
    <w:rsid w:val="00626241"/>
    <w:rsid w:val="006276DF"/>
    <w:rsid w:val="006278F8"/>
    <w:rsid w:val="0063011B"/>
    <w:rsid w:val="00630AB7"/>
    <w:rsid w:val="00630CE9"/>
    <w:rsid w:val="00630F28"/>
    <w:rsid w:val="0063178F"/>
    <w:rsid w:val="006319CC"/>
    <w:rsid w:val="00632A56"/>
    <w:rsid w:val="00632D2E"/>
    <w:rsid w:val="0063334D"/>
    <w:rsid w:val="006338C6"/>
    <w:rsid w:val="00634221"/>
    <w:rsid w:val="00634DA7"/>
    <w:rsid w:val="006358F3"/>
    <w:rsid w:val="00635CDD"/>
    <w:rsid w:val="00636443"/>
    <w:rsid w:val="00636830"/>
    <w:rsid w:val="00636DE1"/>
    <w:rsid w:val="00640C3F"/>
    <w:rsid w:val="0064110E"/>
    <w:rsid w:val="00641203"/>
    <w:rsid w:val="00641DCB"/>
    <w:rsid w:val="00641F30"/>
    <w:rsid w:val="00641F48"/>
    <w:rsid w:val="00642363"/>
    <w:rsid w:val="006429E7"/>
    <w:rsid w:val="0064300F"/>
    <w:rsid w:val="00643075"/>
    <w:rsid w:val="006430E5"/>
    <w:rsid w:val="0064337A"/>
    <w:rsid w:val="00643E33"/>
    <w:rsid w:val="00643FBB"/>
    <w:rsid w:val="0064419B"/>
    <w:rsid w:val="0064445B"/>
    <w:rsid w:val="0064463E"/>
    <w:rsid w:val="006449AA"/>
    <w:rsid w:val="00644C76"/>
    <w:rsid w:val="00644E7D"/>
    <w:rsid w:val="006454B9"/>
    <w:rsid w:val="00645A83"/>
    <w:rsid w:val="00645CFC"/>
    <w:rsid w:val="00646710"/>
    <w:rsid w:val="006467EE"/>
    <w:rsid w:val="006471A2"/>
    <w:rsid w:val="00647398"/>
    <w:rsid w:val="006479CA"/>
    <w:rsid w:val="006507CB"/>
    <w:rsid w:val="00651758"/>
    <w:rsid w:val="00651C7B"/>
    <w:rsid w:val="00651CE0"/>
    <w:rsid w:val="00651CEA"/>
    <w:rsid w:val="006526F2"/>
    <w:rsid w:val="00652C7D"/>
    <w:rsid w:val="0065378B"/>
    <w:rsid w:val="00653866"/>
    <w:rsid w:val="00653C86"/>
    <w:rsid w:val="00654274"/>
    <w:rsid w:val="00654596"/>
    <w:rsid w:val="00655120"/>
    <w:rsid w:val="00655122"/>
    <w:rsid w:val="0065512F"/>
    <w:rsid w:val="0065537D"/>
    <w:rsid w:val="006557C0"/>
    <w:rsid w:val="0065595F"/>
    <w:rsid w:val="00655FC0"/>
    <w:rsid w:val="00656BB4"/>
    <w:rsid w:val="00656C10"/>
    <w:rsid w:val="00657984"/>
    <w:rsid w:val="00660BC4"/>
    <w:rsid w:val="006611B4"/>
    <w:rsid w:val="006626DC"/>
    <w:rsid w:val="00662AE9"/>
    <w:rsid w:val="006632D3"/>
    <w:rsid w:val="00664056"/>
    <w:rsid w:val="00664401"/>
    <w:rsid w:val="0066463C"/>
    <w:rsid w:val="006647B1"/>
    <w:rsid w:val="0066545B"/>
    <w:rsid w:val="0066590C"/>
    <w:rsid w:val="00665D62"/>
    <w:rsid w:val="00665EBB"/>
    <w:rsid w:val="006665A9"/>
    <w:rsid w:val="00666CC2"/>
    <w:rsid w:val="006679E6"/>
    <w:rsid w:val="00670341"/>
    <w:rsid w:val="00670477"/>
    <w:rsid w:val="00671150"/>
    <w:rsid w:val="00671708"/>
    <w:rsid w:val="00672F16"/>
    <w:rsid w:val="00672F70"/>
    <w:rsid w:val="00673163"/>
    <w:rsid w:val="0067376C"/>
    <w:rsid w:val="00674016"/>
    <w:rsid w:val="00674075"/>
    <w:rsid w:val="00674909"/>
    <w:rsid w:val="00674ABE"/>
    <w:rsid w:val="00674B54"/>
    <w:rsid w:val="00674ECF"/>
    <w:rsid w:val="00675837"/>
    <w:rsid w:val="0067693A"/>
    <w:rsid w:val="00676B98"/>
    <w:rsid w:val="006778CD"/>
    <w:rsid w:val="00680343"/>
    <w:rsid w:val="006812ED"/>
    <w:rsid w:val="00681A71"/>
    <w:rsid w:val="00682186"/>
    <w:rsid w:val="00682772"/>
    <w:rsid w:val="0068297B"/>
    <w:rsid w:val="0068359A"/>
    <w:rsid w:val="006836BC"/>
    <w:rsid w:val="00683CA0"/>
    <w:rsid w:val="00683D43"/>
    <w:rsid w:val="00685525"/>
    <w:rsid w:val="0068559E"/>
    <w:rsid w:val="0068588E"/>
    <w:rsid w:val="00685C00"/>
    <w:rsid w:val="00685FFA"/>
    <w:rsid w:val="0068624F"/>
    <w:rsid w:val="006863ED"/>
    <w:rsid w:val="006871F3"/>
    <w:rsid w:val="0068778C"/>
    <w:rsid w:val="00690466"/>
    <w:rsid w:val="006904B7"/>
    <w:rsid w:val="006905A1"/>
    <w:rsid w:val="006909C6"/>
    <w:rsid w:val="00690FB4"/>
    <w:rsid w:val="00691366"/>
    <w:rsid w:val="00691540"/>
    <w:rsid w:val="00691666"/>
    <w:rsid w:val="00691AE7"/>
    <w:rsid w:val="00691EBC"/>
    <w:rsid w:val="00692B6D"/>
    <w:rsid w:val="00692C83"/>
    <w:rsid w:val="00692CFE"/>
    <w:rsid w:val="00693590"/>
    <w:rsid w:val="006935DB"/>
    <w:rsid w:val="00693601"/>
    <w:rsid w:val="006937F9"/>
    <w:rsid w:val="00693A76"/>
    <w:rsid w:val="00694F07"/>
    <w:rsid w:val="00694F8D"/>
    <w:rsid w:val="00695406"/>
    <w:rsid w:val="0069660C"/>
    <w:rsid w:val="00697F8C"/>
    <w:rsid w:val="006A00CC"/>
    <w:rsid w:val="006A01AC"/>
    <w:rsid w:val="006A01E6"/>
    <w:rsid w:val="006A0B98"/>
    <w:rsid w:val="006A0F36"/>
    <w:rsid w:val="006A100B"/>
    <w:rsid w:val="006A176D"/>
    <w:rsid w:val="006A1C5F"/>
    <w:rsid w:val="006A2FB8"/>
    <w:rsid w:val="006A3108"/>
    <w:rsid w:val="006A3D7D"/>
    <w:rsid w:val="006A3F15"/>
    <w:rsid w:val="006A4C3F"/>
    <w:rsid w:val="006A5373"/>
    <w:rsid w:val="006A5B03"/>
    <w:rsid w:val="006A62D4"/>
    <w:rsid w:val="006A66FF"/>
    <w:rsid w:val="006A6738"/>
    <w:rsid w:val="006A6BF2"/>
    <w:rsid w:val="006A6D3F"/>
    <w:rsid w:val="006A7318"/>
    <w:rsid w:val="006B05E5"/>
    <w:rsid w:val="006B1317"/>
    <w:rsid w:val="006B1BBB"/>
    <w:rsid w:val="006B1D5F"/>
    <w:rsid w:val="006B2370"/>
    <w:rsid w:val="006B2ACA"/>
    <w:rsid w:val="006B2FA4"/>
    <w:rsid w:val="006B35D0"/>
    <w:rsid w:val="006B3BC1"/>
    <w:rsid w:val="006B3BF8"/>
    <w:rsid w:val="006B3E05"/>
    <w:rsid w:val="006B4695"/>
    <w:rsid w:val="006B4C48"/>
    <w:rsid w:val="006B4FDC"/>
    <w:rsid w:val="006B5130"/>
    <w:rsid w:val="006B5282"/>
    <w:rsid w:val="006B5DA7"/>
    <w:rsid w:val="006B63C4"/>
    <w:rsid w:val="006B63C7"/>
    <w:rsid w:val="006B66A3"/>
    <w:rsid w:val="006B6D67"/>
    <w:rsid w:val="006B71B1"/>
    <w:rsid w:val="006B7CFB"/>
    <w:rsid w:val="006C05E1"/>
    <w:rsid w:val="006C0C84"/>
    <w:rsid w:val="006C14F0"/>
    <w:rsid w:val="006C157F"/>
    <w:rsid w:val="006C1BB5"/>
    <w:rsid w:val="006C2325"/>
    <w:rsid w:val="006C28B7"/>
    <w:rsid w:val="006C2A67"/>
    <w:rsid w:val="006C301B"/>
    <w:rsid w:val="006C3501"/>
    <w:rsid w:val="006C3F9C"/>
    <w:rsid w:val="006C4035"/>
    <w:rsid w:val="006C484A"/>
    <w:rsid w:val="006C4AA0"/>
    <w:rsid w:val="006C4C28"/>
    <w:rsid w:val="006C5307"/>
    <w:rsid w:val="006C54E8"/>
    <w:rsid w:val="006C5A3B"/>
    <w:rsid w:val="006C5D63"/>
    <w:rsid w:val="006C62BA"/>
    <w:rsid w:val="006C6E67"/>
    <w:rsid w:val="006C7889"/>
    <w:rsid w:val="006C79DD"/>
    <w:rsid w:val="006C7E10"/>
    <w:rsid w:val="006D01CD"/>
    <w:rsid w:val="006D0350"/>
    <w:rsid w:val="006D06B4"/>
    <w:rsid w:val="006D1057"/>
    <w:rsid w:val="006D11E6"/>
    <w:rsid w:val="006D200B"/>
    <w:rsid w:val="006D3118"/>
    <w:rsid w:val="006D314E"/>
    <w:rsid w:val="006D326D"/>
    <w:rsid w:val="006D335F"/>
    <w:rsid w:val="006D5ADD"/>
    <w:rsid w:val="006D618B"/>
    <w:rsid w:val="006D6751"/>
    <w:rsid w:val="006E003A"/>
    <w:rsid w:val="006E0477"/>
    <w:rsid w:val="006E108E"/>
    <w:rsid w:val="006E10B4"/>
    <w:rsid w:val="006E110A"/>
    <w:rsid w:val="006E1357"/>
    <w:rsid w:val="006E1827"/>
    <w:rsid w:val="006E1B9A"/>
    <w:rsid w:val="006E1BD0"/>
    <w:rsid w:val="006E1C64"/>
    <w:rsid w:val="006E23BD"/>
    <w:rsid w:val="006E26DE"/>
    <w:rsid w:val="006E2B8D"/>
    <w:rsid w:val="006E2BA9"/>
    <w:rsid w:val="006E2C4B"/>
    <w:rsid w:val="006E445B"/>
    <w:rsid w:val="006E478E"/>
    <w:rsid w:val="006E4922"/>
    <w:rsid w:val="006E4B7D"/>
    <w:rsid w:val="006E4D2C"/>
    <w:rsid w:val="006E5998"/>
    <w:rsid w:val="006E65AC"/>
    <w:rsid w:val="006E69DB"/>
    <w:rsid w:val="006E75EF"/>
    <w:rsid w:val="006E797B"/>
    <w:rsid w:val="006F033A"/>
    <w:rsid w:val="006F09E3"/>
    <w:rsid w:val="006F0F4A"/>
    <w:rsid w:val="006F12BC"/>
    <w:rsid w:val="006F132B"/>
    <w:rsid w:val="006F1821"/>
    <w:rsid w:val="006F1835"/>
    <w:rsid w:val="006F1D8C"/>
    <w:rsid w:val="006F1F71"/>
    <w:rsid w:val="006F235D"/>
    <w:rsid w:val="006F2F8D"/>
    <w:rsid w:val="006F3495"/>
    <w:rsid w:val="006F466D"/>
    <w:rsid w:val="006F4A0F"/>
    <w:rsid w:val="006F4B8D"/>
    <w:rsid w:val="006F4F6D"/>
    <w:rsid w:val="006F5445"/>
    <w:rsid w:val="006F5BAC"/>
    <w:rsid w:val="006F5DC8"/>
    <w:rsid w:val="006F5F91"/>
    <w:rsid w:val="006F62C6"/>
    <w:rsid w:val="006F6465"/>
    <w:rsid w:val="006F6558"/>
    <w:rsid w:val="006F65E6"/>
    <w:rsid w:val="006F6C40"/>
    <w:rsid w:val="006F70A6"/>
    <w:rsid w:val="006F7616"/>
    <w:rsid w:val="006F7A30"/>
    <w:rsid w:val="0070078B"/>
    <w:rsid w:val="00700A43"/>
    <w:rsid w:val="007018E4"/>
    <w:rsid w:val="00701B1E"/>
    <w:rsid w:val="007025B0"/>
    <w:rsid w:val="00702EBA"/>
    <w:rsid w:val="00702F0D"/>
    <w:rsid w:val="007030F1"/>
    <w:rsid w:val="00703787"/>
    <w:rsid w:val="0070410E"/>
    <w:rsid w:val="00704615"/>
    <w:rsid w:val="00704AC3"/>
    <w:rsid w:val="00704D15"/>
    <w:rsid w:val="00705C57"/>
    <w:rsid w:val="00706078"/>
    <w:rsid w:val="00706445"/>
    <w:rsid w:val="00706525"/>
    <w:rsid w:val="007065B0"/>
    <w:rsid w:val="0070708F"/>
    <w:rsid w:val="0070747C"/>
    <w:rsid w:val="00710304"/>
    <w:rsid w:val="00710BEB"/>
    <w:rsid w:val="00711F15"/>
    <w:rsid w:val="007124FE"/>
    <w:rsid w:val="00712864"/>
    <w:rsid w:val="00712F15"/>
    <w:rsid w:val="00713256"/>
    <w:rsid w:val="007132ED"/>
    <w:rsid w:val="0071387F"/>
    <w:rsid w:val="00713A4A"/>
    <w:rsid w:val="00713E73"/>
    <w:rsid w:val="007151A5"/>
    <w:rsid w:val="00716AD6"/>
    <w:rsid w:val="00717318"/>
    <w:rsid w:val="007203C1"/>
    <w:rsid w:val="00720929"/>
    <w:rsid w:val="00720EDC"/>
    <w:rsid w:val="0072128F"/>
    <w:rsid w:val="0072279E"/>
    <w:rsid w:val="0072366C"/>
    <w:rsid w:val="00723BA8"/>
    <w:rsid w:val="007245F0"/>
    <w:rsid w:val="00725032"/>
    <w:rsid w:val="007251A2"/>
    <w:rsid w:val="007256FD"/>
    <w:rsid w:val="00725C70"/>
    <w:rsid w:val="0072726D"/>
    <w:rsid w:val="00727D01"/>
    <w:rsid w:val="00730C6E"/>
    <w:rsid w:val="00730E65"/>
    <w:rsid w:val="007310A2"/>
    <w:rsid w:val="0073129F"/>
    <w:rsid w:val="00731329"/>
    <w:rsid w:val="0073145C"/>
    <w:rsid w:val="00731697"/>
    <w:rsid w:val="007317D0"/>
    <w:rsid w:val="007317DD"/>
    <w:rsid w:val="00731D93"/>
    <w:rsid w:val="00731E82"/>
    <w:rsid w:val="0073250B"/>
    <w:rsid w:val="00732BD0"/>
    <w:rsid w:val="00733708"/>
    <w:rsid w:val="00733BBD"/>
    <w:rsid w:val="007341F1"/>
    <w:rsid w:val="00734249"/>
    <w:rsid w:val="007349DE"/>
    <w:rsid w:val="00734CE5"/>
    <w:rsid w:val="00735BCE"/>
    <w:rsid w:val="00735D58"/>
    <w:rsid w:val="0073605C"/>
    <w:rsid w:val="00736416"/>
    <w:rsid w:val="007364BF"/>
    <w:rsid w:val="007364D8"/>
    <w:rsid w:val="00736AA8"/>
    <w:rsid w:val="00736D7D"/>
    <w:rsid w:val="00736DB1"/>
    <w:rsid w:val="0073783B"/>
    <w:rsid w:val="00737B9F"/>
    <w:rsid w:val="00737CDA"/>
    <w:rsid w:val="00740624"/>
    <w:rsid w:val="007406A2"/>
    <w:rsid w:val="007413F7"/>
    <w:rsid w:val="00741657"/>
    <w:rsid w:val="00741D35"/>
    <w:rsid w:val="00742885"/>
    <w:rsid w:val="00743321"/>
    <w:rsid w:val="007433C4"/>
    <w:rsid w:val="007433FB"/>
    <w:rsid w:val="00743570"/>
    <w:rsid w:val="0074487D"/>
    <w:rsid w:val="00744B80"/>
    <w:rsid w:val="007451CE"/>
    <w:rsid w:val="0074579B"/>
    <w:rsid w:val="007457B4"/>
    <w:rsid w:val="00745E0A"/>
    <w:rsid w:val="007465A3"/>
    <w:rsid w:val="007470E0"/>
    <w:rsid w:val="0074796E"/>
    <w:rsid w:val="00747CAD"/>
    <w:rsid w:val="00747D28"/>
    <w:rsid w:val="00750112"/>
    <w:rsid w:val="0075012D"/>
    <w:rsid w:val="0075073A"/>
    <w:rsid w:val="007508E8"/>
    <w:rsid w:val="00750B6D"/>
    <w:rsid w:val="007513E5"/>
    <w:rsid w:val="007516A6"/>
    <w:rsid w:val="007517D0"/>
    <w:rsid w:val="00751A47"/>
    <w:rsid w:val="007529AC"/>
    <w:rsid w:val="00753091"/>
    <w:rsid w:val="00753D30"/>
    <w:rsid w:val="00754076"/>
    <w:rsid w:val="007544F9"/>
    <w:rsid w:val="007562B3"/>
    <w:rsid w:val="00756472"/>
    <w:rsid w:val="007566EE"/>
    <w:rsid w:val="00756B0C"/>
    <w:rsid w:val="0075728D"/>
    <w:rsid w:val="00757FF4"/>
    <w:rsid w:val="00760226"/>
    <w:rsid w:val="007607EF"/>
    <w:rsid w:val="007610D2"/>
    <w:rsid w:val="00762044"/>
    <w:rsid w:val="007620BC"/>
    <w:rsid w:val="00762145"/>
    <w:rsid w:val="0076252F"/>
    <w:rsid w:val="0076267E"/>
    <w:rsid w:val="007628EA"/>
    <w:rsid w:val="00762AE8"/>
    <w:rsid w:val="00762CBD"/>
    <w:rsid w:val="00763111"/>
    <w:rsid w:val="00763C68"/>
    <w:rsid w:val="00763CDF"/>
    <w:rsid w:val="00764312"/>
    <w:rsid w:val="00764E21"/>
    <w:rsid w:val="00764F7A"/>
    <w:rsid w:val="007655A5"/>
    <w:rsid w:val="00765F27"/>
    <w:rsid w:val="0076609F"/>
    <w:rsid w:val="00766B6B"/>
    <w:rsid w:val="00766FA7"/>
    <w:rsid w:val="0076704B"/>
    <w:rsid w:val="00767A9B"/>
    <w:rsid w:val="00767B83"/>
    <w:rsid w:val="007709CD"/>
    <w:rsid w:val="00770B59"/>
    <w:rsid w:val="007713DB"/>
    <w:rsid w:val="007714EB"/>
    <w:rsid w:val="007718EF"/>
    <w:rsid w:val="00771CD5"/>
    <w:rsid w:val="00771DDF"/>
    <w:rsid w:val="00771F7E"/>
    <w:rsid w:val="0077216A"/>
    <w:rsid w:val="007722C4"/>
    <w:rsid w:val="0077263C"/>
    <w:rsid w:val="00772866"/>
    <w:rsid w:val="00772AC9"/>
    <w:rsid w:val="00772F55"/>
    <w:rsid w:val="007731E2"/>
    <w:rsid w:val="00773991"/>
    <w:rsid w:val="00773E92"/>
    <w:rsid w:val="00773EB7"/>
    <w:rsid w:val="007740A9"/>
    <w:rsid w:val="007741ED"/>
    <w:rsid w:val="007742D2"/>
    <w:rsid w:val="00774720"/>
    <w:rsid w:val="00774A4E"/>
    <w:rsid w:val="00775170"/>
    <w:rsid w:val="00775787"/>
    <w:rsid w:val="007759CB"/>
    <w:rsid w:val="00775A95"/>
    <w:rsid w:val="00777043"/>
    <w:rsid w:val="00777125"/>
    <w:rsid w:val="00777403"/>
    <w:rsid w:val="00777B57"/>
    <w:rsid w:val="00777D18"/>
    <w:rsid w:val="00777F89"/>
    <w:rsid w:val="007800C3"/>
    <w:rsid w:val="0078038A"/>
    <w:rsid w:val="007809C7"/>
    <w:rsid w:val="00781044"/>
    <w:rsid w:val="0078107D"/>
    <w:rsid w:val="00781AFF"/>
    <w:rsid w:val="007822EE"/>
    <w:rsid w:val="00782809"/>
    <w:rsid w:val="00782E16"/>
    <w:rsid w:val="007831CB"/>
    <w:rsid w:val="007834EB"/>
    <w:rsid w:val="007835D3"/>
    <w:rsid w:val="00783CBD"/>
    <w:rsid w:val="00783E34"/>
    <w:rsid w:val="007844A9"/>
    <w:rsid w:val="0078450F"/>
    <w:rsid w:val="00784623"/>
    <w:rsid w:val="00784B1A"/>
    <w:rsid w:val="00785111"/>
    <w:rsid w:val="0078519A"/>
    <w:rsid w:val="00785F96"/>
    <w:rsid w:val="0078627E"/>
    <w:rsid w:val="007862FF"/>
    <w:rsid w:val="00786C36"/>
    <w:rsid w:val="00786DC6"/>
    <w:rsid w:val="00786FE7"/>
    <w:rsid w:val="007871BA"/>
    <w:rsid w:val="00787575"/>
    <w:rsid w:val="007879BC"/>
    <w:rsid w:val="00787BD0"/>
    <w:rsid w:val="00787D40"/>
    <w:rsid w:val="007903A6"/>
    <w:rsid w:val="00790E07"/>
    <w:rsid w:val="00791473"/>
    <w:rsid w:val="007914E3"/>
    <w:rsid w:val="00791510"/>
    <w:rsid w:val="00791654"/>
    <w:rsid w:val="00791A03"/>
    <w:rsid w:val="00791AD2"/>
    <w:rsid w:val="00791B98"/>
    <w:rsid w:val="00791D23"/>
    <w:rsid w:val="00792256"/>
    <w:rsid w:val="0079238D"/>
    <w:rsid w:val="007923A1"/>
    <w:rsid w:val="00792B51"/>
    <w:rsid w:val="0079366C"/>
    <w:rsid w:val="007936C7"/>
    <w:rsid w:val="00793AA3"/>
    <w:rsid w:val="00793B17"/>
    <w:rsid w:val="00793E84"/>
    <w:rsid w:val="00793FB6"/>
    <w:rsid w:val="0079531B"/>
    <w:rsid w:val="00796A24"/>
    <w:rsid w:val="007973FE"/>
    <w:rsid w:val="00797AB1"/>
    <w:rsid w:val="007A092C"/>
    <w:rsid w:val="007A0F54"/>
    <w:rsid w:val="007A207D"/>
    <w:rsid w:val="007A2244"/>
    <w:rsid w:val="007A294A"/>
    <w:rsid w:val="007A2A15"/>
    <w:rsid w:val="007A2D5E"/>
    <w:rsid w:val="007A442F"/>
    <w:rsid w:val="007A4906"/>
    <w:rsid w:val="007A4917"/>
    <w:rsid w:val="007A5FE6"/>
    <w:rsid w:val="007A61F7"/>
    <w:rsid w:val="007A6EA7"/>
    <w:rsid w:val="007A7767"/>
    <w:rsid w:val="007B0341"/>
    <w:rsid w:val="007B0563"/>
    <w:rsid w:val="007B0CD3"/>
    <w:rsid w:val="007B1971"/>
    <w:rsid w:val="007B2715"/>
    <w:rsid w:val="007B29F9"/>
    <w:rsid w:val="007B2F5C"/>
    <w:rsid w:val="007B3317"/>
    <w:rsid w:val="007B3554"/>
    <w:rsid w:val="007B3C6D"/>
    <w:rsid w:val="007B4B86"/>
    <w:rsid w:val="007B56A1"/>
    <w:rsid w:val="007B611B"/>
    <w:rsid w:val="007B6F8F"/>
    <w:rsid w:val="007B7348"/>
    <w:rsid w:val="007B7821"/>
    <w:rsid w:val="007B7A33"/>
    <w:rsid w:val="007B7CDA"/>
    <w:rsid w:val="007B7D96"/>
    <w:rsid w:val="007B7ECB"/>
    <w:rsid w:val="007C0ABE"/>
    <w:rsid w:val="007C0C3A"/>
    <w:rsid w:val="007C13BC"/>
    <w:rsid w:val="007C1449"/>
    <w:rsid w:val="007C1684"/>
    <w:rsid w:val="007C176D"/>
    <w:rsid w:val="007C1F05"/>
    <w:rsid w:val="007C1FCC"/>
    <w:rsid w:val="007C1FEF"/>
    <w:rsid w:val="007C288B"/>
    <w:rsid w:val="007C2AC8"/>
    <w:rsid w:val="007C2D44"/>
    <w:rsid w:val="007C4928"/>
    <w:rsid w:val="007C4936"/>
    <w:rsid w:val="007C4BA1"/>
    <w:rsid w:val="007C4C20"/>
    <w:rsid w:val="007C553E"/>
    <w:rsid w:val="007C560D"/>
    <w:rsid w:val="007C5829"/>
    <w:rsid w:val="007C5F40"/>
    <w:rsid w:val="007C6359"/>
    <w:rsid w:val="007C65CF"/>
    <w:rsid w:val="007C69A3"/>
    <w:rsid w:val="007C7E82"/>
    <w:rsid w:val="007D061C"/>
    <w:rsid w:val="007D0D53"/>
    <w:rsid w:val="007D170C"/>
    <w:rsid w:val="007D2570"/>
    <w:rsid w:val="007D270C"/>
    <w:rsid w:val="007D2A96"/>
    <w:rsid w:val="007D3533"/>
    <w:rsid w:val="007D38E7"/>
    <w:rsid w:val="007D40E4"/>
    <w:rsid w:val="007D48B5"/>
    <w:rsid w:val="007D4E89"/>
    <w:rsid w:val="007D5A40"/>
    <w:rsid w:val="007D62EA"/>
    <w:rsid w:val="007D6DC0"/>
    <w:rsid w:val="007D73BF"/>
    <w:rsid w:val="007D7E3A"/>
    <w:rsid w:val="007E0A3E"/>
    <w:rsid w:val="007E0FCD"/>
    <w:rsid w:val="007E127B"/>
    <w:rsid w:val="007E1E63"/>
    <w:rsid w:val="007E1FFC"/>
    <w:rsid w:val="007E24E2"/>
    <w:rsid w:val="007E27BB"/>
    <w:rsid w:val="007E2F08"/>
    <w:rsid w:val="007E35BB"/>
    <w:rsid w:val="007E3851"/>
    <w:rsid w:val="007E3B3A"/>
    <w:rsid w:val="007E47F8"/>
    <w:rsid w:val="007E4AB0"/>
    <w:rsid w:val="007E4AD1"/>
    <w:rsid w:val="007E4D6F"/>
    <w:rsid w:val="007E552B"/>
    <w:rsid w:val="007E57FB"/>
    <w:rsid w:val="007E5A15"/>
    <w:rsid w:val="007E5AE6"/>
    <w:rsid w:val="007E5EDB"/>
    <w:rsid w:val="007E6050"/>
    <w:rsid w:val="007E6D4C"/>
    <w:rsid w:val="007E6FAF"/>
    <w:rsid w:val="007E7421"/>
    <w:rsid w:val="007E781C"/>
    <w:rsid w:val="007E78D1"/>
    <w:rsid w:val="007E78DF"/>
    <w:rsid w:val="007E7E40"/>
    <w:rsid w:val="007F00C0"/>
    <w:rsid w:val="007F02B8"/>
    <w:rsid w:val="007F064B"/>
    <w:rsid w:val="007F0DE1"/>
    <w:rsid w:val="007F117A"/>
    <w:rsid w:val="007F13A6"/>
    <w:rsid w:val="007F16DF"/>
    <w:rsid w:val="007F1759"/>
    <w:rsid w:val="007F19C5"/>
    <w:rsid w:val="007F1C4F"/>
    <w:rsid w:val="007F2439"/>
    <w:rsid w:val="007F2E66"/>
    <w:rsid w:val="007F3AED"/>
    <w:rsid w:val="007F3E95"/>
    <w:rsid w:val="007F3F41"/>
    <w:rsid w:val="007F41B5"/>
    <w:rsid w:val="007F44B5"/>
    <w:rsid w:val="007F50FD"/>
    <w:rsid w:val="007F572D"/>
    <w:rsid w:val="007F59A6"/>
    <w:rsid w:val="007F6229"/>
    <w:rsid w:val="007F6565"/>
    <w:rsid w:val="007F6E5F"/>
    <w:rsid w:val="007F7235"/>
    <w:rsid w:val="007F7359"/>
    <w:rsid w:val="00800819"/>
    <w:rsid w:val="00800A52"/>
    <w:rsid w:val="00801154"/>
    <w:rsid w:val="008015E4"/>
    <w:rsid w:val="00802103"/>
    <w:rsid w:val="0080218E"/>
    <w:rsid w:val="008021AF"/>
    <w:rsid w:val="00803094"/>
    <w:rsid w:val="0080339A"/>
    <w:rsid w:val="0080339C"/>
    <w:rsid w:val="00803C07"/>
    <w:rsid w:val="008044E3"/>
    <w:rsid w:val="0080604C"/>
    <w:rsid w:val="0080606A"/>
    <w:rsid w:val="008061BB"/>
    <w:rsid w:val="008061E8"/>
    <w:rsid w:val="00806F2A"/>
    <w:rsid w:val="00806F9C"/>
    <w:rsid w:val="0080765C"/>
    <w:rsid w:val="0081079C"/>
    <w:rsid w:val="00810ABD"/>
    <w:rsid w:val="008114A8"/>
    <w:rsid w:val="00811CDB"/>
    <w:rsid w:val="00811DC5"/>
    <w:rsid w:val="008149EF"/>
    <w:rsid w:val="00814B8A"/>
    <w:rsid w:val="00815690"/>
    <w:rsid w:val="008156D9"/>
    <w:rsid w:val="008159FC"/>
    <w:rsid w:val="00817498"/>
    <w:rsid w:val="00820456"/>
    <w:rsid w:val="00820485"/>
    <w:rsid w:val="008206AB"/>
    <w:rsid w:val="008208A7"/>
    <w:rsid w:val="008215D1"/>
    <w:rsid w:val="008217D0"/>
    <w:rsid w:val="0082259D"/>
    <w:rsid w:val="008225FD"/>
    <w:rsid w:val="00822E60"/>
    <w:rsid w:val="00823722"/>
    <w:rsid w:val="00823C37"/>
    <w:rsid w:val="0082406E"/>
    <w:rsid w:val="00824761"/>
    <w:rsid w:val="00824954"/>
    <w:rsid w:val="00824D26"/>
    <w:rsid w:val="00825071"/>
    <w:rsid w:val="00825696"/>
    <w:rsid w:val="008256D2"/>
    <w:rsid w:val="0082598A"/>
    <w:rsid w:val="008259E9"/>
    <w:rsid w:val="0082609F"/>
    <w:rsid w:val="0082647A"/>
    <w:rsid w:val="00826DC5"/>
    <w:rsid w:val="00826FDC"/>
    <w:rsid w:val="00827759"/>
    <w:rsid w:val="00827B0E"/>
    <w:rsid w:val="00830163"/>
    <w:rsid w:val="00830435"/>
    <w:rsid w:val="00830595"/>
    <w:rsid w:val="00830826"/>
    <w:rsid w:val="00830BEB"/>
    <w:rsid w:val="00832020"/>
    <w:rsid w:val="00832192"/>
    <w:rsid w:val="00832233"/>
    <w:rsid w:val="00832920"/>
    <w:rsid w:val="00832DF4"/>
    <w:rsid w:val="00833A64"/>
    <w:rsid w:val="00833E80"/>
    <w:rsid w:val="008343FC"/>
    <w:rsid w:val="00834BF5"/>
    <w:rsid w:val="00834CE4"/>
    <w:rsid w:val="008350AA"/>
    <w:rsid w:val="00835B39"/>
    <w:rsid w:val="00836295"/>
    <w:rsid w:val="00836976"/>
    <w:rsid w:val="00836E90"/>
    <w:rsid w:val="00837050"/>
    <w:rsid w:val="0083788D"/>
    <w:rsid w:val="00837B29"/>
    <w:rsid w:val="008401D5"/>
    <w:rsid w:val="00840B3B"/>
    <w:rsid w:val="008410FA"/>
    <w:rsid w:val="0084175D"/>
    <w:rsid w:val="0084191C"/>
    <w:rsid w:val="00842C12"/>
    <w:rsid w:val="00842CEB"/>
    <w:rsid w:val="00842D55"/>
    <w:rsid w:val="008432BB"/>
    <w:rsid w:val="00843381"/>
    <w:rsid w:val="008438C6"/>
    <w:rsid w:val="00844035"/>
    <w:rsid w:val="00844284"/>
    <w:rsid w:val="00845305"/>
    <w:rsid w:val="008454E8"/>
    <w:rsid w:val="00845BCB"/>
    <w:rsid w:val="0084632B"/>
    <w:rsid w:val="00846350"/>
    <w:rsid w:val="0084751E"/>
    <w:rsid w:val="008476C3"/>
    <w:rsid w:val="00847881"/>
    <w:rsid w:val="00847BB8"/>
    <w:rsid w:val="00847C8E"/>
    <w:rsid w:val="00850B14"/>
    <w:rsid w:val="00851CC3"/>
    <w:rsid w:val="0085208F"/>
    <w:rsid w:val="008523A1"/>
    <w:rsid w:val="008535F2"/>
    <w:rsid w:val="008536FF"/>
    <w:rsid w:val="00853BE6"/>
    <w:rsid w:val="00853C41"/>
    <w:rsid w:val="00853E0D"/>
    <w:rsid w:val="00853EA1"/>
    <w:rsid w:val="00854C7D"/>
    <w:rsid w:val="00855991"/>
    <w:rsid w:val="00856308"/>
    <w:rsid w:val="00856700"/>
    <w:rsid w:val="00856A01"/>
    <w:rsid w:val="00856C92"/>
    <w:rsid w:val="00856F20"/>
    <w:rsid w:val="00857296"/>
    <w:rsid w:val="00857C82"/>
    <w:rsid w:val="00857DB8"/>
    <w:rsid w:val="00857E1B"/>
    <w:rsid w:val="00857EC2"/>
    <w:rsid w:val="00860111"/>
    <w:rsid w:val="00860306"/>
    <w:rsid w:val="008611F0"/>
    <w:rsid w:val="00861261"/>
    <w:rsid w:val="00861F39"/>
    <w:rsid w:val="008629FE"/>
    <w:rsid w:val="00863DC3"/>
    <w:rsid w:val="008643C3"/>
    <w:rsid w:val="00864498"/>
    <w:rsid w:val="00865292"/>
    <w:rsid w:val="00865505"/>
    <w:rsid w:val="00865590"/>
    <w:rsid w:val="00865BB5"/>
    <w:rsid w:val="00865C4F"/>
    <w:rsid w:val="00866CF8"/>
    <w:rsid w:val="00867004"/>
    <w:rsid w:val="00867654"/>
    <w:rsid w:val="0087086B"/>
    <w:rsid w:val="0087097A"/>
    <w:rsid w:val="00870D62"/>
    <w:rsid w:val="00871AA8"/>
    <w:rsid w:val="0087278D"/>
    <w:rsid w:val="00872C9F"/>
    <w:rsid w:val="00874B37"/>
    <w:rsid w:val="00874FF9"/>
    <w:rsid w:val="00875A8E"/>
    <w:rsid w:val="00875DAC"/>
    <w:rsid w:val="00875F03"/>
    <w:rsid w:val="008761CC"/>
    <w:rsid w:val="00876733"/>
    <w:rsid w:val="0087681F"/>
    <w:rsid w:val="00880E71"/>
    <w:rsid w:val="00880FFC"/>
    <w:rsid w:val="008812BB"/>
    <w:rsid w:val="008815D3"/>
    <w:rsid w:val="0088180C"/>
    <w:rsid w:val="00881AB4"/>
    <w:rsid w:val="00881B88"/>
    <w:rsid w:val="00881F4A"/>
    <w:rsid w:val="0088218F"/>
    <w:rsid w:val="00883CB9"/>
    <w:rsid w:val="00883E9A"/>
    <w:rsid w:val="00884528"/>
    <w:rsid w:val="00884A56"/>
    <w:rsid w:val="00885313"/>
    <w:rsid w:val="00885C56"/>
    <w:rsid w:val="00886636"/>
    <w:rsid w:val="008868FB"/>
    <w:rsid w:val="00887293"/>
    <w:rsid w:val="00887803"/>
    <w:rsid w:val="008900E6"/>
    <w:rsid w:val="008904C8"/>
    <w:rsid w:val="008904CB"/>
    <w:rsid w:val="00890B80"/>
    <w:rsid w:val="00890BF0"/>
    <w:rsid w:val="00890DB5"/>
    <w:rsid w:val="00890F79"/>
    <w:rsid w:val="008922A5"/>
    <w:rsid w:val="008922E6"/>
    <w:rsid w:val="00892787"/>
    <w:rsid w:val="00892E4F"/>
    <w:rsid w:val="008932B1"/>
    <w:rsid w:val="008937F7"/>
    <w:rsid w:val="00893A8C"/>
    <w:rsid w:val="00893CD0"/>
    <w:rsid w:val="00895286"/>
    <w:rsid w:val="00896E84"/>
    <w:rsid w:val="00897560"/>
    <w:rsid w:val="00897650"/>
    <w:rsid w:val="008978F0"/>
    <w:rsid w:val="008A0234"/>
    <w:rsid w:val="008A0359"/>
    <w:rsid w:val="008A040D"/>
    <w:rsid w:val="008A0ABF"/>
    <w:rsid w:val="008A17C2"/>
    <w:rsid w:val="008A1BFA"/>
    <w:rsid w:val="008A1CDD"/>
    <w:rsid w:val="008A248B"/>
    <w:rsid w:val="008A29EB"/>
    <w:rsid w:val="008A2CE5"/>
    <w:rsid w:val="008A2F9E"/>
    <w:rsid w:val="008A3047"/>
    <w:rsid w:val="008A3179"/>
    <w:rsid w:val="008A32A9"/>
    <w:rsid w:val="008A3823"/>
    <w:rsid w:val="008A3F29"/>
    <w:rsid w:val="008A41F7"/>
    <w:rsid w:val="008A4275"/>
    <w:rsid w:val="008A44E8"/>
    <w:rsid w:val="008A5AB0"/>
    <w:rsid w:val="008A5B86"/>
    <w:rsid w:val="008A5DB6"/>
    <w:rsid w:val="008A603A"/>
    <w:rsid w:val="008A6CCD"/>
    <w:rsid w:val="008A700D"/>
    <w:rsid w:val="008A72CE"/>
    <w:rsid w:val="008A7338"/>
    <w:rsid w:val="008A7965"/>
    <w:rsid w:val="008A79C9"/>
    <w:rsid w:val="008A7A9C"/>
    <w:rsid w:val="008A7D57"/>
    <w:rsid w:val="008B0842"/>
    <w:rsid w:val="008B089F"/>
    <w:rsid w:val="008B0B7C"/>
    <w:rsid w:val="008B0BD9"/>
    <w:rsid w:val="008B20CE"/>
    <w:rsid w:val="008B2CF4"/>
    <w:rsid w:val="008B30B0"/>
    <w:rsid w:val="008B373A"/>
    <w:rsid w:val="008B3C4F"/>
    <w:rsid w:val="008B3C6F"/>
    <w:rsid w:val="008B4600"/>
    <w:rsid w:val="008B486F"/>
    <w:rsid w:val="008B4FF2"/>
    <w:rsid w:val="008B53EB"/>
    <w:rsid w:val="008B6105"/>
    <w:rsid w:val="008B6AE4"/>
    <w:rsid w:val="008B720D"/>
    <w:rsid w:val="008B7891"/>
    <w:rsid w:val="008B78BA"/>
    <w:rsid w:val="008C1166"/>
    <w:rsid w:val="008C12F7"/>
    <w:rsid w:val="008C158F"/>
    <w:rsid w:val="008C240F"/>
    <w:rsid w:val="008C2565"/>
    <w:rsid w:val="008C33A6"/>
    <w:rsid w:val="008C3AA7"/>
    <w:rsid w:val="008C3B7F"/>
    <w:rsid w:val="008C4D4E"/>
    <w:rsid w:val="008C571E"/>
    <w:rsid w:val="008C599E"/>
    <w:rsid w:val="008C5CD2"/>
    <w:rsid w:val="008C64F8"/>
    <w:rsid w:val="008C783C"/>
    <w:rsid w:val="008C7A66"/>
    <w:rsid w:val="008D0414"/>
    <w:rsid w:val="008D07C8"/>
    <w:rsid w:val="008D1297"/>
    <w:rsid w:val="008D18CA"/>
    <w:rsid w:val="008D27A1"/>
    <w:rsid w:val="008D2D38"/>
    <w:rsid w:val="008D3500"/>
    <w:rsid w:val="008D3597"/>
    <w:rsid w:val="008D3CFE"/>
    <w:rsid w:val="008D3E14"/>
    <w:rsid w:val="008D4503"/>
    <w:rsid w:val="008D479A"/>
    <w:rsid w:val="008D4D36"/>
    <w:rsid w:val="008D4F4F"/>
    <w:rsid w:val="008D51F6"/>
    <w:rsid w:val="008D5823"/>
    <w:rsid w:val="008D6481"/>
    <w:rsid w:val="008D6B8C"/>
    <w:rsid w:val="008D76EB"/>
    <w:rsid w:val="008D7A7C"/>
    <w:rsid w:val="008D7A96"/>
    <w:rsid w:val="008D7DD1"/>
    <w:rsid w:val="008E06E8"/>
    <w:rsid w:val="008E0828"/>
    <w:rsid w:val="008E1216"/>
    <w:rsid w:val="008E181C"/>
    <w:rsid w:val="008E1A30"/>
    <w:rsid w:val="008E20AC"/>
    <w:rsid w:val="008E20B7"/>
    <w:rsid w:val="008E288D"/>
    <w:rsid w:val="008E40E0"/>
    <w:rsid w:val="008E4A1D"/>
    <w:rsid w:val="008E4AE2"/>
    <w:rsid w:val="008E5786"/>
    <w:rsid w:val="008E6CF5"/>
    <w:rsid w:val="008E7C86"/>
    <w:rsid w:val="008F004F"/>
    <w:rsid w:val="008F0084"/>
    <w:rsid w:val="008F0770"/>
    <w:rsid w:val="008F0A21"/>
    <w:rsid w:val="008F18DC"/>
    <w:rsid w:val="008F2316"/>
    <w:rsid w:val="008F29FE"/>
    <w:rsid w:val="008F2B03"/>
    <w:rsid w:val="008F2B04"/>
    <w:rsid w:val="008F35D3"/>
    <w:rsid w:val="008F40C6"/>
    <w:rsid w:val="008F46ED"/>
    <w:rsid w:val="008F487A"/>
    <w:rsid w:val="008F4B14"/>
    <w:rsid w:val="008F4DC6"/>
    <w:rsid w:val="008F52F3"/>
    <w:rsid w:val="008F5FD5"/>
    <w:rsid w:val="008F6111"/>
    <w:rsid w:val="008F63A0"/>
    <w:rsid w:val="008F63D4"/>
    <w:rsid w:val="008F67D5"/>
    <w:rsid w:val="008F6EBD"/>
    <w:rsid w:val="008F7129"/>
    <w:rsid w:val="008F7204"/>
    <w:rsid w:val="008F7B40"/>
    <w:rsid w:val="008F7EC2"/>
    <w:rsid w:val="00900038"/>
    <w:rsid w:val="009004E8"/>
    <w:rsid w:val="00900945"/>
    <w:rsid w:val="00900C95"/>
    <w:rsid w:val="00900D2F"/>
    <w:rsid w:val="009010C2"/>
    <w:rsid w:val="0090269E"/>
    <w:rsid w:val="00902B31"/>
    <w:rsid w:val="00902ED8"/>
    <w:rsid w:val="009030B0"/>
    <w:rsid w:val="009032E0"/>
    <w:rsid w:val="00904A9B"/>
    <w:rsid w:val="00904B29"/>
    <w:rsid w:val="00905734"/>
    <w:rsid w:val="009064FE"/>
    <w:rsid w:val="00906FD5"/>
    <w:rsid w:val="00907218"/>
    <w:rsid w:val="00907EC1"/>
    <w:rsid w:val="00910245"/>
    <w:rsid w:val="0091035F"/>
    <w:rsid w:val="009113C8"/>
    <w:rsid w:val="00911DE8"/>
    <w:rsid w:val="00911ED0"/>
    <w:rsid w:val="00912204"/>
    <w:rsid w:val="00912262"/>
    <w:rsid w:val="00912575"/>
    <w:rsid w:val="00912A73"/>
    <w:rsid w:val="00913A71"/>
    <w:rsid w:val="00913FB0"/>
    <w:rsid w:val="009140E8"/>
    <w:rsid w:val="00914910"/>
    <w:rsid w:val="0091513C"/>
    <w:rsid w:val="00915284"/>
    <w:rsid w:val="0091623F"/>
    <w:rsid w:val="00916364"/>
    <w:rsid w:val="00916953"/>
    <w:rsid w:val="009173EF"/>
    <w:rsid w:val="0091778B"/>
    <w:rsid w:val="00917C98"/>
    <w:rsid w:val="009201FC"/>
    <w:rsid w:val="00920908"/>
    <w:rsid w:val="00920C4B"/>
    <w:rsid w:val="00920E1D"/>
    <w:rsid w:val="009214DE"/>
    <w:rsid w:val="00921D76"/>
    <w:rsid w:val="00921E95"/>
    <w:rsid w:val="00922BB9"/>
    <w:rsid w:val="00923067"/>
    <w:rsid w:val="00923667"/>
    <w:rsid w:val="00923725"/>
    <w:rsid w:val="0092391F"/>
    <w:rsid w:val="009240DD"/>
    <w:rsid w:val="0092420C"/>
    <w:rsid w:val="00924730"/>
    <w:rsid w:val="00925205"/>
    <w:rsid w:val="00925258"/>
    <w:rsid w:val="009253A3"/>
    <w:rsid w:val="00925432"/>
    <w:rsid w:val="0092609B"/>
    <w:rsid w:val="00927077"/>
    <w:rsid w:val="00927E5B"/>
    <w:rsid w:val="009300B0"/>
    <w:rsid w:val="00930543"/>
    <w:rsid w:val="009309AD"/>
    <w:rsid w:val="00931128"/>
    <w:rsid w:val="009315FC"/>
    <w:rsid w:val="009318C6"/>
    <w:rsid w:val="009320C6"/>
    <w:rsid w:val="00932BF8"/>
    <w:rsid w:val="00932E42"/>
    <w:rsid w:val="00933008"/>
    <w:rsid w:val="009330AD"/>
    <w:rsid w:val="00933848"/>
    <w:rsid w:val="00933C66"/>
    <w:rsid w:val="00934611"/>
    <w:rsid w:val="0093564A"/>
    <w:rsid w:val="009357F6"/>
    <w:rsid w:val="009359D0"/>
    <w:rsid w:val="00935C19"/>
    <w:rsid w:val="00936452"/>
    <w:rsid w:val="00936561"/>
    <w:rsid w:val="00937566"/>
    <w:rsid w:val="00937D9C"/>
    <w:rsid w:val="00937F64"/>
    <w:rsid w:val="009401C8"/>
    <w:rsid w:val="00940FCA"/>
    <w:rsid w:val="00941A38"/>
    <w:rsid w:val="00941FAE"/>
    <w:rsid w:val="00942684"/>
    <w:rsid w:val="00943F29"/>
    <w:rsid w:val="0094453B"/>
    <w:rsid w:val="00944690"/>
    <w:rsid w:val="009447A4"/>
    <w:rsid w:val="00944829"/>
    <w:rsid w:val="009452AE"/>
    <w:rsid w:val="00945B01"/>
    <w:rsid w:val="00945E32"/>
    <w:rsid w:val="009465D7"/>
    <w:rsid w:val="00946BCE"/>
    <w:rsid w:val="00946E70"/>
    <w:rsid w:val="009504BC"/>
    <w:rsid w:val="00950921"/>
    <w:rsid w:val="0095138E"/>
    <w:rsid w:val="009518ED"/>
    <w:rsid w:val="00952146"/>
    <w:rsid w:val="00952DD8"/>
    <w:rsid w:val="00953559"/>
    <w:rsid w:val="00954096"/>
    <w:rsid w:val="009546E6"/>
    <w:rsid w:val="00954FB4"/>
    <w:rsid w:val="00955BC2"/>
    <w:rsid w:val="00956513"/>
    <w:rsid w:val="00957445"/>
    <w:rsid w:val="00957475"/>
    <w:rsid w:val="00957D84"/>
    <w:rsid w:val="00957E5B"/>
    <w:rsid w:val="0096046C"/>
    <w:rsid w:val="009605D4"/>
    <w:rsid w:val="0096075D"/>
    <w:rsid w:val="00960CBD"/>
    <w:rsid w:val="00961090"/>
    <w:rsid w:val="0096137C"/>
    <w:rsid w:val="009619F5"/>
    <w:rsid w:val="009624EE"/>
    <w:rsid w:val="00962737"/>
    <w:rsid w:val="0096297B"/>
    <w:rsid w:val="00963684"/>
    <w:rsid w:val="0096382F"/>
    <w:rsid w:val="00963973"/>
    <w:rsid w:val="009641DF"/>
    <w:rsid w:val="00964B26"/>
    <w:rsid w:val="00964F0D"/>
    <w:rsid w:val="0096525A"/>
    <w:rsid w:val="009653C4"/>
    <w:rsid w:val="009663C7"/>
    <w:rsid w:val="0096664C"/>
    <w:rsid w:val="00966C96"/>
    <w:rsid w:val="00966DCA"/>
    <w:rsid w:val="00970D0F"/>
    <w:rsid w:val="009713A5"/>
    <w:rsid w:val="0097225E"/>
    <w:rsid w:val="00972A65"/>
    <w:rsid w:val="00972ED3"/>
    <w:rsid w:val="00973620"/>
    <w:rsid w:val="00973A19"/>
    <w:rsid w:val="00973E82"/>
    <w:rsid w:val="00973F61"/>
    <w:rsid w:val="0097431B"/>
    <w:rsid w:val="009743FB"/>
    <w:rsid w:val="00974B8A"/>
    <w:rsid w:val="00974D74"/>
    <w:rsid w:val="00976059"/>
    <w:rsid w:val="0097696C"/>
    <w:rsid w:val="00976E87"/>
    <w:rsid w:val="0098053B"/>
    <w:rsid w:val="00980705"/>
    <w:rsid w:val="00980949"/>
    <w:rsid w:val="00980AAA"/>
    <w:rsid w:val="009811D7"/>
    <w:rsid w:val="00981811"/>
    <w:rsid w:val="00982216"/>
    <w:rsid w:val="0098245A"/>
    <w:rsid w:val="00982B53"/>
    <w:rsid w:val="00984E3F"/>
    <w:rsid w:val="009852E5"/>
    <w:rsid w:val="009852F6"/>
    <w:rsid w:val="00986863"/>
    <w:rsid w:val="00986944"/>
    <w:rsid w:val="00986D8A"/>
    <w:rsid w:val="00986DF3"/>
    <w:rsid w:val="0098707C"/>
    <w:rsid w:val="00987AAE"/>
    <w:rsid w:val="00990702"/>
    <w:rsid w:val="00991037"/>
    <w:rsid w:val="00991D1D"/>
    <w:rsid w:val="0099201C"/>
    <w:rsid w:val="0099254E"/>
    <w:rsid w:val="0099273C"/>
    <w:rsid w:val="0099295C"/>
    <w:rsid w:val="00994882"/>
    <w:rsid w:val="00994E91"/>
    <w:rsid w:val="00995587"/>
    <w:rsid w:val="009956BC"/>
    <w:rsid w:val="00995B1E"/>
    <w:rsid w:val="009960BE"/>
    <w:rsid w:val="00996980"/>
    <w:rsid w:val="00996DAD"/>
    <w:rsid w:val="00996E6D"/>
    <w:rsid w:val="00997276"/>
    <w:rsid w:val="00997814"/>
    <w:rsid w:val="009A077B"/>
    <w:rsid w:val="009A1160"/>
    <w:rsid w:val="009A1290"/>
    <w:rsid w:val="009A18D6"/>
    <w:rsid w:val="009A1DA0"/>
    <w:rsid w:val="009A29E1"/>
    <w:rsid w:val="009A374F"/>
    <w:rsid w:val="009A382D"/>
    <w:rsid w:val="009A391B"/>
    <w:rsid w:val="009A3B0B"/>
    <w:rsid w:val="009A44DF"/>
    <w:rsid w:val="009A4FD8"/>
    <w:rsid w:val="009A5B9E"/>
    <w:rsid w:val="009A674B"/>
    <w:rsid w:val="009A724C"/>
    <w:rsid w:val="009B0555"/>
    <w:rsid w:val="009B0BA7"/>
    <w:rsid w:val="009B11B3"/>
    <w:rsid w:val="009B1D2D"/>
    <w:rsid w:val="009B1EB6"/>
    <w:rsid w:val="009B1EB8"/>
    <w:rsid w:val="009B1EE4"/>
    <w:rsid w:val="009B2714"/>
    <w:rsid w:val="009B29D0"/>
    <w:rsid w:val="009B30B6"/>
    <w:rsid w:val="009B3C8A"/>
    <w:rsid w:val="009B4006"/>
    <w:rsid w:val="009B4D52"/>
    <w:rsid w:val="009B60B8"/>
    <w:rsid w:val="009B6493"/>
    <w:rsid w:val="009B6731"/>
    <w:rsid w:val="009B6815"/>
    <w:rsid w:val="009B69BB"/>
    <w:rsid w:val="009B6D16"/>
    <w:rsid w:val="009B71E2"/>
    <w:rsid w:val="009B794C"/>
    <w:rsid w:val="009C037C"/>
    <w:rsid w:val="009C0681"/>
    <w:rsid w:val="009C14EF"/>
    <w:rsid w:val="009C1786"/>
    <w:rsid w:val="009C1CDF"/>
    <w:rsid w:val="009C2281"/>
    <w:rsid w:val="009C236D"/>
    <w:rsid w:val="009C3ACA"/>
    <w:rsid w:val="009C3F03"/>
    <w:rsid w:val="009C4DD2"/>
    <w:rsid w:val="009C50F2"/>
    <w:rsid w:val="009C51B3"/>
    <w:rsid w:val="009C595C"/>
    <w:rsid w:val="009C5D5E"/>
    <w:rsid w:val="009C7386"/>
    <w:rsid w:val="009C7B32"/>
    <w:rsid w:val="009D05DE"/>
    <w:rsid w:val="009D1365"/>
    <w:rsid w:val="009D2B08"/>
    <w:rsid w:val="009D2DA9"/>
    <w:rsid w:val="009D2E2F"/>
    <w:rsid w:val="009D32F3"/>
    <w:rsid w:val="009D3755"/>
    <w:rsid w:val="009D3818"/>
    <w:rsid w:val="009D3EC2"/>
    <w:rsid w:val="009D3F3D"/>
    <w:rsid w:val="009D4000"/>
    <w:rsid w:val="009D4D31"/>
    <w:rsid w:val="009D4D7A"/>
    <w:rsid w:val="009D556C"/>
    <w:rsid w:val="009D57D2"/>
    <w:rsid w:val="009D5AB7"/>
    <w:rsid w:val="009D5CCF"/>
    <w:rsid w:val="009D5EA6"/>
    <w:rsid w:val="009D63F9"/>
    <w:rsid w:val="009D654C"/>
    <w:rsid w:val="009D67CB"/>
    <w:rsid w:val="009D68AC"/>
    <w:rsid w:val="009D75C7"/>
    <w:rsid w:val="009D7795"/>
    <w:rsid w:val="009E0AEB"/>
    <w:rsid w:val="009E0F70"/>
    <w:rsid w:val="009E12A3"/>
    <w:rsid w:val="009E1D50"/>
    <w:rsid w:val="009E212E"/>
    <w:rsid w:val="009E2897"/>
    <w:rsid w:val="009E3089"/>
    <w:rsid w:val="009E3564"/>
    <w:rsid w:val="009E47EA"/>
    <w:rsid w:val="009E4D08"/>
    <w:rsid w:val="009E5FFE"/>
    <w:rsid w:val="009E61F4"/>
    <w:rsid w:val="009E6464"/>
    <w:rsid w:val="009E6570"/>
    <w:rsid w:val="009E750F"/>
    <w:rsid w:val="009E7748"/>
    <w:rsid w:val="009E78A5"/>
    <w:rsid w:val="009E7B68"/>
    <w:rsid w:val="009E7CCD"/>
    <w:rsid w:val="009F070B"/>
    <w:rsid w:val="009F0A40"/>
    <w:rsid w:val="009F13D3"/>
    <w:rsid w:val="009F1721"/>
    <w:rsid w:val="009F285A"/>
    <w:rsid w:val="009F2A96"/>
    <w:rsid w:val="009F2EE4"/>
    <w:rsid w:val="009F36B3"/>
    <w:rsid w:val="009F398F"/>
    <w:rsid w:val="009F3BB9"/>
    <w:rsid w:val="009F3DD4"/>
    <w:rsid w:val="009F449D"/>
    <w:rsid w:val="009F547D"/>
    <w:rsid w:val="009F5F1B"/>
    <w:rsid w:val="009F61E7"/>
    <w:rsid w:val="009F6C61"/>
    <w:rsid w:val="009F6EB7"/>
    <w:rsid w:val="009F7515"/>
    <w:rsid w:val="009F7612"/>
    <w:rsid w:val="009F76A5"/>
    <w:rsid w:val="00A00840"/>
    <w:rsid w:val="00A0087D"/>
    <w:rsid w:val="00A00ADB"/>
    <w:rsid w:val="00A00BB0"/>
    <w:rsid w:val="00A01847"/>
    <w:rsid w:val="00A02A83"/>
    <w:rsid w:val="00A02C7B"/>
    <w:rsid w:val="00A0319A"/>
    <w:rsid w:val="00A043A9"/>
    <w:rsid w:val="00A045E7"/>
    <w:rsid w:val="00A047B9"/>
    <w:rsid w:val="00A054CE"/>
    <w:rsid w:val="00A058C5"/>
    <w:rsid w:val="00A0749C"/>
    <w:rsid w:val="00A07F98"/>
    <w:rsid w:val="00A10544"/>
    <w:rsid w:val="00A11C61"/>
    <w:rsid w:val="00A12179"/>
    <w:rsid w:val="00A12688"/>
    <w:rsid w:val="00A12C3A"/>
    <w:rsid w:val="00A12DAB"/>
    <w:rsid w:val="00A1317B"/>
    <w:rsid w:val="00A13AA3"/>
    <w:rsid w:val="00A13BFC"/>
    <w:rsid w:val="00A13D15"/>
    <w:rsid w:val="00A13EDC"/>
    <w:rsid w:val="00A13FAE"/>
    <w:rsid w:val="00A1403B"/>
    <w:rsid w:val="00A141F7"/>
    <w:rsid w:val="00A14314"/>
    <w:rsid w:val="00A14458"/>
    <w:rsid w:val="00A14F85"/>
    <w:rsid w:val="00A1525F"/>
    <w:rsid w:val="00A154D2"/>
    <w:rsid w:val="00A155CE"/>
    <w:rsid w:val="00A1569C"/>
    <w:rsid w:val="00A15CE2"/>
    <w:rsid w:val="00A162EB"/>
    <w:rsid w:val="00A16AFE"/>
    <w:rsid w:val="00A16CE9"/>
    <w:rsid w:val="00A16EE8"/>
    <w:rsid w:val="00A1753C"/>
    <w:rsid w:val="00A20C24"/>
    <w:rsid w:val="00A21868"/>
    <w:rsid w:val="00A21F74"/>
    <w:rsid w:val="00A22182"/>
    <w:rsid w:val="00A22379"/>
    <w:rsid w:val="00A234A1"/>
    <w:rsid w:val="00A235BC"/>
    <w:rsid w:val="00A2440A"/>
    <w:rsid w:val="00A24E61"/>
    <w:rsid w:val="00A25108"/>
    <w:rsid w:val="00A25BDE"/>
    <w:rsid w:val="00A25F37"/>
    <w:rsid w:val="00A26000"/>
    <w:rsid w:val="00A264AA"/>
    <w:rsid w:val="00A27172"/>
    <w:rsid w:val="00A27305"/>
    <w:rsid w:val="00A300D6"/>
    <w:rsid w:val="00A301C5"/>
    <w:rsid w:val="00A30426"/>
    <w:rsid w:val="00A30A33"/>
    <w:rsid w:val="00A30CC2"/>
    <w:rsid w:val="00A30E81"/>
    <w:rsid w:val="00A312F9"/>
    <w:rsid w:val="00A31772"/>
    <w:rsid w:val="00A31F2C"/>
    <w:rsid w:val="00A327F2"/>
    <w:rsid w:val="00A33514"/>
    <w:rsid w:val="00A33E87"/>
    <w:rsid w:val="00A340F1"/>
    <w:rsid w:val="00A341B1"/>
    <w:rsid w:val="00A343C8"/>
    <w:rsid w:val="00A34761"/>
    <w:rsid w:val="00A348C8"/>
    <w:rsid w:val="00A35263"/>
    <w:rsid w:val="00A35696"/>
    <w:rsid w:val="00A35C48"/>
    <w:rsid w:val="00A35E45"/>
    <w:rsid w:val="00A35F2C"/>
    <w:rsid w:val="00A3630F"/>
    <w:rsid w:val="00A36707"/>
    <w:rsid w:val="00A36D60"/>
    <w:rsid w:val="00A377D7"/>
    <w:rsid w:val="00A37F66"/>
    <w:rsid w:val="00A4073B"/>
    <w:rsid w:val="00A412E6"/>
    <w:rsid w:val="00A41BC6"/>
    <w:rsid w:val="00A41E4F"/>
    <w:rsid w:val="00A42835"/>
    <w:rsid w:val="00A4326A"/>
    <w:rsid w:val="00A43BF0"/>
    <w:rsid w:val="00A45074"/>
    <w:rsid w:val="00A450BB"/>
    <w:rsid w:val="00A457DF"/>
    <w:rsid w:val="00A45BBF"/>
    <w:rsid w:val="00A46579"/>
    <w:rsid w:val="00A472FB"/>
    <w:rsid w:val="00A473E3"/>
    <w:rsid w:val="00A47811"/>
    <w:rsid w:val="00A47BC7"/>
    <w:rsid w:val="00A50072"/>
    <w:rsid w:val="00A5019D"/>
    <w:rsid w:val="00A502B5"/>
    <w:rsid w:val="00A506F6"/>
    <w:rsid w:val="00A5083D"/>
    <w:rsid w:val="00A512D4"/>
    <w:rsid w:val="00A5181F"/>
    <w:rsid w:val="00A51F31"/>
    <w:rsid w:val="00A523B9"/>
    <w:rsid w:val="00A52561"/>
    <w:rsid w:val="00A52943"/>
    <w:rsid w:val="00A53276"/>
    <w:rsid w:val="00A53281"/>
    <w:rsid w:val="00A537D4"/>
    <w:rsid w:val="00A53FEF"/>
    <w:rsid w:val="00A549F0"/>
    <w:rsid w:val="00A5573D"/>
    <w:rsid w:val="00A55C66"/>
    <w:rsid w:val="00A560CD"/>
    <w:rsid w:val="00A5684F"/>
    <w:rsid w:val="00A56C34"/>
    <w:rsid w:val="00A56C95"/>
    <w:rsid w:val="00A57B51"/>
    <w:rsid w:val="00A6063E"/>
    <w:rsid w:val="00A61568"/>
    <w:rsid w:val="00A619EF"/>
    <w:rsid w:val="00A61C69"/>
    <w:rsid w:val="00A61E3B"/>
    <w:rsid w:val="00A61E7E"/>
    <w:rsid w:val="00A61FFC"/>
    <w:rsid w:val="00A6291B"/>
    <w:rsid w:val="00A62D0B"/>
    <w:rsid w:val="00A630BB"/>
    <w:rsid w:val="00A631A7"/>
    <w:rsid w:val="00A63310"/>
    <w:rsid w:val="00A63370"/>
    <w:rsid w:val="00A63AFA"/>
    <w:rsid w:val="00A64662"/>
    <w:rsid w:val="00A64C29"/>
    <w:rsid w:val="00A65D37"/>
    <w:rsid w:val="00A66323"/>
    <w:rsid w:val="00A664CD"/>
    <w:rsid w:val="00A66773"/>
    <w:rsid w:val="00A66912"/>
    <w:rsid w:val="00A66A94"/>
    <w:rsid w:val="00A66DC1"/>
    <w:rsid w:val="00A678AB"/>
    <w:rsid w:val="00A701A1"/>
    <w:rsid w:val="00A70CCE"/>
    <w:rsid w:val="00A71ADF"/>
    <w:rsid w:val="00A71E59"/>
    <w:rsid w:val="00A72B70"/>
    <w:rsid w:val="00A73A2B"/>
    <w:rsid w:val="00A74628"/>
    <w:rsid w:val="00A74AF0"/>
    <w:rsid w:val="00A74D1C"/>
    <w:rsid w:val="00A74EC2"/>
    <w:rsid w:val="00A75257"/>
    <w:rsid w:val="00A75D6C"/>
    <w:rsid w:val="00A76241"/>
    <w:rsid w:val="00A762AE"/>
    <w:rsid w:val="00A77223"/>
    <w:rsid w:val="00A77347"/>
    <w:rsid w:val="00A77581"/>
    <w:rsid w:val="00A7790F"/>
    <w:rsid w:val="00A77AFC"/>
    <w:rsid w:val="00A77F40"/>
    <w:rsid w:val="00A80586"/>
    <w:rsid w:val="00A807AE"/>
    <w:rsid w:val="00A80870"/>
    <w:rsid w:val="00A80BB7"/>
    <w:rsid w:val="00A80DA8"/>
    <w:rsid w:val="00A8150F"/>
    <w:rsid w:val="00A81EC7"/>
    <w:rsid w:val="00A82BEB"/>
    <w:rsid w:val="00A83B43"/>
    <w:rsid w:val="00A83C3C"/>
    <w:rsid w:val="00A83D5D"/>
    <w:rsid w:val="00A841D4"/>
    <w:rsid w:val="00A84A5D"/>
    <w:rsid w:val="00A84BFE"/>
    <w:rsid w:val="00A8509A"/>
    <w:rsid w:val="00A8548F"/>
    <w:rsid w:val="00A857AD"/>
    <w:rsid w:val="00A857DB"/>
    <w:rsid w:val="00A85A25"/>
    <w:rsid w:val="00A86562"/>
    <w:rsid w:val="00A86EE4"/>
    <w:rsid w:val="00A878AF"/>
    <w:rsid w:val="00A87C71"/>
    <w:rsid w:val="00A90373"/>
    <w:rsid w:val="00A90874"/>
    <w:rsid w:val="00A91C4D"/>
    <w:rsid w:val="00A92745"/>
    <w:rsid w:val="00A92992"/>
    <w:rsid w:val="00A92AFA"/>
    <w:rsid w:val="00A931BA"/>
    <w:rsid w:val="00A933BF"/>
    <w:rsid w:val="00A93594"/>
    <w:rsid w:val="00A9402F"/>
    <w:rsid w:val="00A9494D"/>
    <w:rsid w:val="00A9505D"/>
    <w:rsid w:val="00A9546C"/>
    <w:rsid w:val="00A964BB"/>
    <w:rsid w:val="00A965A5"/>
    <w:rsid w:val="00A96E50"/>
    <w:rsid w:val="00A97011"/>
    <w:rsid w:val="00A97020"/>
    <w:rsid w:val="00A97A6E"/>
    <w:rsid w:val="00AA03EA"/>
    <w:rsid w:val="00AA0C28"/>
    <w:rsid w:val="00AA0EFC"/>
    <w:rsid w:val="00AA14DF"/>
    <w:rsid w:val="00AA1765"/>
    <w:rsid w:val="00AA27E4"/>
    <w:rsid w:val="00AA289B"/>
    <w:rsid w:val="00AA4AED"/>
    <w:rsid w:val="00AA55E4"/>
    <w:rsid w:val="00AA6A1B"/>
    <w:rsid w:val="00AB045B"/>
    <w:rsid w:val="00AB0F2D"/>
    <w:rsid w:val="00AB146C"/>
    <w:rsid w:val="00AB1509"/>
    <w:rsid w:val="00AB1C6C"/>
    <w:rsid w:val="00AB2D62"/>
    <w:rsid w:val="00AB2D93"/>
    <w:rsid w:val="00AB37DE"/>
    <w:rsid w:val="00AB3D2F"/>
    <w:rsid w:val="00AB429A"/>
    <w:rsid w:val="00AB4386"/>
    <w:rsid w:val="00AB45D2"/>
    <w:rsid w:val="00AB4EB0"/>
    <w:rsid w:val="00AB5121"/>
    <w:rsid w:val="00AB61C4"/>
    <w:rsid w:val="00AB61F9"/>
    <w:rsid w:val="00AB6358"/>
    <w:rsid w:val="00AB6628"/>
    <w:rsid w:val="00AB6D90"/>
    <w:rsid w:val="00AB6F63"/>
    <w:rsid w:val="00AB7195"/>
    <w:rsid w:val="00AB7355"/>
    <w:rsid w:val="00AB76A5"/>
    <w:rsid w:val="00AB774D"/>
    <w:rsid w:val="00AC005D"/>
    <w:rsid w:val="00AC03FA"/>
    <w:rsid w:val="00AC07EF"/>
    <w:rsid w:val="00AC0B10"/>
    <w:rsid w:val="00AC129B"/>
    <w:rsid w:val="00AC13A4"/>
    <w:rsid w:val="00AC2433"/>
    <w:rsid w:val="00AC2951"/>
    <w:rsid w:val="00AC30DA"/>
    <w:rsid w:val="00AC37AB"/>
    <w:rsid w:val="00AC39D6"/>
    <w:rsid w:val="00AC3DD0"/>
    <w:rsid w:val="00AC47FF"/>
    <w:rsid w:val="00AC4934"/>
    <w:rsid w:val="00AC4ACC"/>
    <w:rsid w:val="00AC59D5"/>
    <w:rsid w:val="00AC5F01"/>
    <w:rsid w:val="00AC60BB"/>
    <w:rsid w:val="00AC666F"/>
    <w:rsid w:val="00AC711B"/>
    <w:rsid w:val="00AC7241"/>
    <w:rsid w:val="00AC7B8E"/>
    <w:rsid w:val="00AD019E"/>
    <w:rsid w:val="00AD0AB1"/>
    <w:rsid w:val="00AD1326"/>
    <w:rsid w:val="00AD158A"/>
    <w:rsid w:val="00AD1655"/>
    <w:rsid w:val="00AD16FD"/>
    <w:rsid w:val="00AD1A9B"/>
    <w:rsid w:val="00AD238F"/>
    <w:rsid w:val="00AD2944"/>
    <w:rsid w:val="00AD2ED3"/>
    <w:rsid w:val="00AD3037"/>
    <w:rsid w:val="00AD36C4"/>
    <w:rsid w:val="00AD39EC"/>
    <w:rsid w:val="00AD41CD"/>
    <w:rsid w:val="00AD4553"/>
    <w:rsid w:val="00AD4FCF"/>
    <w:rsid w:val="00AD5207"/>
    <w:rsid w:val="00AD5836"/>
    <w:rsid w:val="00AD6493"/>
    <w:rsid w:val="00AD64C3"/>
    <w:rsid w:val="00AD6786"/>
    <w:rsid w:val="00AD7147"/>
    <w:rsid w:val="00AD7A07"/>
    <w:rsid w:val="00AD7E2D"/>
    <w:rsid w:val="00AE000E"/>
    <w:rsid w:val="00AE0D91"/>
    <w:rsid w:val="00AE1500"/>
    <w:rsid w:val="00AE1901"/>
    <w:rsid w:val="00AE207F"/>
    <w:rsid w:val="00AE2AE6"/>
    <w:rsid w:val="00AE34B3"/>
    <w:rsid w:val="00AE4319"/>
    <w:rsid w:val="00AE4921"/>
    <w:rsid w:val="00AE6B66"/>
    <w:rsid w:val="00AE6CB6"/>
    <w:rsid w:val="00AE6CE4"/>
    <w:rsid w:val="00AE795A"/>
    <w:rsid w:val="00AE7A6C"/>
    <w:rsid w:val="00AE7D64"/>
    <w:rsid w:val="00AF36BC"/>
    <w:rsid w:val="00AF3C5E"/>
    <w:rsid w:val="00AF40F4"/>
    <w:rsid w:val="00AF4766"/>
    <w:rsid w:val="00AF4824"/>
    <w:rsid w:val="00AF4F38"/>
    <w:rsid w:val="00AF50A0"/>
    <w:rsid w:val="00AF5934"/>
    <w:rsid w:val="00AF5AE7"/>
    <w:rsid w:val="00AF6392"/>
    <w:rsid w:val="00AF6451"/>
    <w:rsid w:val="00AF654C"/>
    <w:rsid w:val="00AF6CC5"/>
    <w:rsid w:val="00AF71A4"/>
    <w:rsid w:val="00AF73C0"/>
    <w:rsid w:val="00B00C8B"/>
    <w:rsid w:val="00B00D88"/>
    <w:rsid w:val="00B01ABE"/>
    <w:rsid w:val="00B01C4D"/>
    <w:rsid w:val="00B020DD"/>
    <w:rsid w:val="00B02224"/>
    <w:rsid w:val="00B03497"/>
    <w:rsid w:val="00B0452E"/>
    <w:rsid w:val="00B04EE5"/>
    <w:rsid w:val="00B05352"/>
    <w:rsid w:val="00B05C39"/>
    <w:rsid w:val="00B06B39"/>
    <w:rsid w:val="00B07229"/>
    <w:rsid w:val="00B07237"/>
    <w:rsid w:val="00B0731B"/>
    <w:rsid w:val="00B07640"/>
    <w:rsid w:val="00B105E8"/>
    <w:rsid w:val="00B10795"/>
    <w:rsid w:val="00B1118A"/>
    <w:rsid w:val="00B11429"/>
    <w:rsid w:val="00B1152E"/>
    <w:rsid w:val="00B11601"/>
    <w:rsid w:val="00B11B78"/>
    <w:rsid w:val="00B11F78"/>
    <w:rsid w:val="00B125EA"/>
    <w:rsid w:val="00B12619"/>
    <w:rsid w:val="00B13E9D"/>
    <w:rsid w:val="00B13F24"/>
    <w:rsid w:val="00B15C73"/>
    <w:rsid w:val="00B15F2E"/>
    <w:rsid w:val="00B175C6"/>
    <w:rsid w:val="00B17F55"/>
    <w:rsid w:val="00B20212"/>
    <w:rsid w:val="00B20786"/>
    <w:rsid w:val="00B20D0D"/>
    <w:rsid w:val="00B20FC5"/>
    <w:rsid w:val="00B210E2"/>
    <w:rsid w:val="00B21343"/>
    <w:rsid w:val="00B213A9"/>
    <w:rsid w:val="00B2184F"/>
    <w:rsid w:val="00B2248C"/>
    <w:rsid w:val="00B22BE0"/>
    <w:rsid w:val="00B233CC"/>
    <w:rsid w:val="00B23548"/>
    <w:rsid w:val="00B23A25"/>
    <w:rsid w:val="00B248AD"/>
    <w:rsid w:val="00B248B3"/>
    <w:rsid w:val="00B24A49"/>
    <w:rsid w:val="00B25129"/>
    <w:rsid w:val="00B258C7"/>
    <w:rsid w:val="00B25F71"/>
    <w:rsid w:val="00B2651B"/>
    <w:rsid w:val="00B265E7"/>
    <w:rsid w:val="00B26680"/>
    <w:rsid w:val="00B278EE"/>
    <w:rsid w:val="00B3052F"/>
    <w:rsid w:val="00B311A6"/>
    <w:rsid w:val="00B31389"/>
    <w:rsid w:val="00B31F38"/>
    <w:rsid w:val="00B3202C"/>
    <w:rsid w:val="00B326AF"/>
    <w:rsid w:val="00B32E76"/>
    <w:rsid w:val="00B32EF1"/>
    <w:rsid w:val="00B33C77"/>
    <w:rsid w:val="00B34991"/>
    <w:rsid w:val="00B34D24"/>
    <w:rsid w:val="00B3507B"/>
    <w:rsid w:val="00B35CBF"/>
    <w:rsid w:val="00B35ECB"/>
    <w:rsid w:val="00B369A1"/>
    <w:rsid w:val="00B3701E"/>
    <w:rsid w:val="00B4036C"/>
    <w:rsid w:val="00B4083E"/>
    <w:rsid w:val="00B40950"/>
    <w:rsid w:val="00B41226"/>
    <w:rsid w:val="00B41744"/>
    <w:rsid w:val="00B41B21"/>
    <w:rsid w:val="00B42354"/>
    <w:rsid w:val="00B42471"/>
    <w:rsid w:val="00B4275B"/>
    <w:rsid w:val="00B42C72"/>
    <w:rsid w:val="00B437C8"/>
    <w:rsid w:val="00B437E5"/>
    <w:rsid w:val="00B43E2D"/>
    <w:rsid w:val="00B442E3"/>
    <w:rsid w:val="00B44E3D"/>
    <w:rsid w:val="00B450B2"/>
    <w:rsid w:val="00B45209"/>
    <w:rsid w:val="00B4520D"/>
    <w:rsid w:val="00B4566A"/>
    <w:rsid w:val="00B456F8"/>
    <w:rsid w:val="00B45941"/>
    <w:rsid w:val="00B4671C"/>
    <w:rsid w:val="00B46725"/>
    <w:rsid w:val="00B46FA9"/>
    <w:rsid w:val="00B46FB7"/>
    <w:rsid w:val="00B472E4"/>
    <w:rsid w:val="00B47350"/>
    <w:rsid w:val="00B500BD"/>
    <w:rsid w:val="00B501AD"/>
    <w:rsid w:val="00B50D90"/>
    <w:rsid w:val="00B50F2F"/>
    <w:rsid w:val="00B512CF"/>
    <w:rsid w:val="00B51B02"/>
    <w:rsid w:val="00B520A3"/>
    <w:rsid w:val="00B5223F"/>
    <w:rsid w:val="00B5326D"/>
    <w:rsid w:val="00B53EBB"/>
    <w:rsid w:val="00B54405"/>
    <w:rsid w:val="00B551C2"/>
    <w:rsid w:val="00B564CC"/>
    <w:rsid w:val="00B56648"/>
    <w:rsid w:val="00B5664C"/>
    <w:rsid w:val="00B56BD9"/>
    <w:rsid w:val="00B56D2B"/>
    <w:rsid w:val="00B56D83"/>
    <w:rsid w:val="00B57629"/>
    <w:rsid w:val="00B606DF"/>
    <w:rsid w:val="00B606F6"/>
    <w:rsid w:val="00B613F4"/>
    <w:rsid w:val="00B61633"/>
    <w:rsid w:val="00B61DC6"/>
    <w:rsid w:val="00B626B1"/>
    <w:rsid w:val="00B6288C"/>
    <w:rsid w:val="00B62AF0"/>
    <w:rsid w:val="00B630F7"/>
    <w:rsid w:val="00B63186"/>
    <w:rsid w:val="00B6357C"/>
    <w:rsid w:val="00B63958"/>
    <w:rsid w:val="00B63F49"/>
    <w:rsid w:val="00B64455"/>
    <w:rsid w:val="00B64643"/>
    <w:rsid w:val="00B648C4"/>
    <w:rsid w:val="00B64A14"/>
    <w:rsid w:val="00B64B14"/>
    <w:rsid w:val="00B64C60"/>
    <w:rsid w:val="00B652F5"/>
    <w:rsid w:val="00B65536"/>
    <w:rsid w:val="00B65EC5"/>
    <w:rsid w:val="00B66290"/>
    <w:rsid w:val="00B66F86"/>
    <w:rsid w:val="00B67B51"/>
    <w:rsid w:val="00B67BE8"/>
    <w:rsid w:val="00B703BA"/>
    <w:rsid w:val="00B714A8"/>
    <w:rsid w:val="00B71513"/>
    <w:rsid w:val="00B721D3"/>
    <w:rsid w:val="00B72575"/>
    <w:rsid w:val="00B72C8A"/>
    <w:rsid w:val="00B730C3"/>
    <w:rsid w:val="00B73576"/>
    <w:rsid w:val="00B738E0"/>
    <w:rsid w:val="00B73904"/>
    <w:rsid w:val="00B73C1B"/>
    <w:rsid w:val="00B74A3C"/>
    <w:rsid w:val="00B74C17"/>
    <w:rsid w:val="00B74C45"/>
    <w:rsid w:val="00B7513E"/>
    <w:rsid w:val="00B751DA"/>
    <w:rsid w:val="00B75B0C"/>
    <w:rsid w:val="00B7608F"/>
    <w:rsid w:val="00B76D52"/>
    <w:rsid w:val="00B77171"/>
    <w:rsid w:val="00B775EE"/>
    <w:rsid w:val="00B802AA"/>
    <w:rsid w:val="00B80A06"/>
    <w:rsid w:val="00B80B41"/>
    <w:rsid w:val="00B80E28"/>
    <w:rsid w:val="00B80E2A"/>
    <w:rsid w:val="00B81051"/>
    <w:rsid w:val="00B81B45"/>
    <w:rsid w:val="00B827BE"/>
    <w:rsid w:val="00B82A34"/>
    <w:rsid w:val="00B82D80"/>
    <w:rsid w:val="00B8352A"/>
    <w:rsid w:val="00B841C6"/>
    <w:rsid w:val="00B8597E"/>
    <w:rsid w:val="00B86A48"/>
    <w:rsid w:val="00B86DFE"/>
    <w:rsid w:val="00B86E6C"/>
    <w:rsid w:val="00B86EFB"/>
    <w:rsid w:val="00B871FA"/>
    <w:rsid w:val="00B876DE"/>
    <w:rsid w:val="00B87B86"/>
    <w:rsid w:val="00B9018F"/>
    <w:rsid w:val="00B90565"/>
    <w:rsid w:val="00B90C51"/>
    <w:rsid w:val="00B917D7"/>
    <w:rsid w:val="00B91C6F"/>
    <w:rsid w:val="00B92108"/>
    <w:rsid w:val="00B92333"/>
    <w:rsid w:val="00B924C2"/>
    <w:rsid w:val="00B92B7A"/>
    <w:rsid w:val="00B93D20"/>
    <w:rsid w:val="00B940EE"/>
    <w:rsid w:val="00B946D0"/>
    <w:rsid w:val="00B9483C"/>
    <w:rsid w:val="00B9520D"/>
    <w:rsid w:val="00B95413"/>
    <w:rsid w:val="00B9552D"/>
    <w:rsid w:val="00B95877"/>
    <w:rsid w:val="00B95A8B"/>
    <w:rsid w:val="00B95C98"/>
    <w:rsid w:val="00B96123"/>
    <w:rsid w:val="00B962C4"/>
    <w:rsid w:val="00B969E1"/>
    <w:rsid w:val="00B96AB0"/>
    <w:rsid w:val="00B973DD"/>
    <w:rsid w:val="00B976C5"/>
    <w:rsid w:val="00B97CDE"/>
    <w:rsid w:val="00BA010F"/>
    <w:rsid w:val="00BA11D6"/>
    <w:rsid w:val="00BA174C"/>
    <w:rsid w:val="00BA193A"/>
    <w:rsid w:val="00BA1A65"/>
    <w:rsid w:val="00BA1C8E"/>
    <w:rsid w:val="00BA22A1"/>
    <w:rsid w:val="00BA2D29"/>
    <w:rsid w:val="00BA3132"/>
    <w:rsid w:val="00BA3965"/>
    <w:rsid w:val="00BA3BC9"/>
    <w:rsid w:val="00BA48DF"/>
    <w:rsid w:val="00BA6341"/>
    <w:rsid w:val="00BA68D3"/>
    <w:rsid w:val="00BA69DB"/>
    <w:rsid w:val="00BA72EF"/>
    <w:rsid w:val="00BA7329"/>
    <w:rsid w:val="00BA7572"/>
    <w:rsid w:val="00BA7603"/>
    <w:rsid w:val="00BA7C73"/>
    <w:rsid w:val="00BA7CA8"/>
    <w:rsid w:val="00BA7E01"/>
    <w:rsid w:val="00BB0613"/>
    <w:rsid w:val="00BB08E7"/>
    <w:rsid w:val="00BB0BC6"/>
    <w:rsid w:val="00BB1052"/>
    <w:rsid w:val="00BB1167"/>
    <w:rsid w:val="00BB142C"/>
    <w:rsid w:val="00BB1AF0"/>
    <w:rsid w:val="00BB1DDE"/>
    <w:rsid w:val="00BB2286"/>
    <w:rsid w:val="00BB3A4F"/>
    <w:rsid w:val="00BB46B8"/>
    <w:rsid w:val="00BB4AE1"/>
    <w:rsid w:val="00BB5A3F"/>
    <w:rsid w:val="00BB5D73"/>
    <w:rsid w:val="00BB6A57"/>
    <w:rsid w:val="00BB6A96"/>
    <w:rsid w:val="00BB6E64"/>
    <w:rsid w:val="00BB70E4"/>
    <w:rsid w:val="00BB751F"/>
    <w:rsid w:val="00BB7F25"/>
    <w:rsid w:val="00BC0977"/>
    <w:rsid w:val="00BC0C19"/>
    <w:rsid w:val="00BC0D61"/>
    <w:rsid w:val="00BC19C8"/>
    <w:rsid w:val="00BC3EFD"/>
    <w:rsid w:val="00BC3FDC"/>
    <w:rsid w:val="00BC423F"/>
    <w:rsid w:val="00BC4240"/>
    <w:rsid w:val="00BC4646"/>
    <w:rsid w:val="00BC4A1F"/>
    <w:rsid w:val="00BC4B8B"/>
    <w:rsid w:val="00BC51D4"/>
    <w:rsid w:val="00BC546D"/>
    <w:rsid w:val="00BC5D3B"/>
    <w:rsid w:val="00BC7B74"/>
    <w:rsid w:val="00BC7EFB"/>
    <w:rsid w:val="00BD19D3"/>
    <w:rsid w:val="00BD2424"/>
    <w:rsid w:val="00BD2D04"/>
    <w:rsid w:val="00BD3840"/>
    <w:rsid w:val="00BD3DCA"/>
    <w:rsid w:val="00BD406D"/>
    <w:rsid w:val="00BD4781"/>
    <w:rsid w:val="00BD539F"/>
    <w:rsid w:val="00BD53BA"/>
    <w:rsid w:val="00BD60E0"/>
    <w:rsid w:val="00BD6849"/>
    <w:rsid w:val="00BD75B6"/>
    <w:rsid w:val="00BD7951"/>
    <w:rsid w:val="00BD79B3"/>
    <w:rsid w:val="00BD7ED9"/>
    <w:rsid w:val="00BE0C80"/>
    <w:rsid w:val="00BE0EAD"/>
    <w:rsid w:val="00BE174B"/>
    <w:rsid w:val="00BE1C36"/>
    <w:rsid w:val="00BE2C33"/>
    <w:rsid w:val="00BE37CF"/>
    <w:rsid w:val="00BE4071"/>
    <w:rsid w:val="00BE4797"/>
    <w:rsid w:val="00BE49F7"/>
    <w:rsid w:val="00BE4DD6"/>
    <w:rsid w:val="00BE6110"/>
    <w:rsid w:val="00BE6574"/>
    <w:rsid w:val="00BE6ADA"/>
    <w:rsid w:val="00BE6BEB"/>
    <w:rsid w:val="00BE729B"/>
    <w:rsid w:val="00BE76C8"/>
    <w:rsid w:val="00BE79F0"/>
    <w:rsid w:val="00BF053F"/>
    <w:rsid w:val="00BF0AD7"/>
    <w:rsid w:val="00BF0D50"/>
    <w:rsid w:val="00BF0DCE"/>
    <w:rsid w:val="00BF1654"/>
    <w:rsid w:val="00BF1758"/>
    <w:rsid w:val="00BF1820"/>
    <w:rsid w:val="00BF1BCB"/>
    <w:rsid w:val="00BF1F32"/>
    <w:rsid w:val="00BF2022"/>
    <w:rsid w:val="00BF229D"/>
    <w:rsid w:val="00BF3783"/>
    <w:rsid w:val="00BF402F"/>
    <w:rsid w:val="00BF4447"/>
    <w:rsid w:val="00BF50EA"/>
    <w:rsid w:val="00BF582F"/>
    <w:rsid w:val="00BF5937"/>
    <w:rsid w:val="00BF5B51"/>
    <w:rsid w:val="00BF6296"/>
    <w:rsid w:val="00BF637F"/>
    <w:rsid w:val="00BF6BFF"/>
    <w:rsid w:val="00BF6F36"/>
    <w:rsid w:val="00BF710D"/>
    <w:rsid w:val="00BF7248"/>
    <w:rsid w:val="00BF7717"/>
    <w:rsid w:val="00C009C8"/>
    <w:rsid w:val="00C00C5E"/>
    <w:rsid w:val="00C0120B"/>
    <w:rsid w:val="00C01487"/>
    <w:rsid w:val="00C01517"/>
    <w:rsid w:val="00C01579"/>
    <w:rsid w:val="00C01627"/>
    <w:rsid w:val="00C02C6A"/>
    <w:rsid w:val="00C032B7"/>
    <w:rsid w:val="00C03961"/>
    <w:rsid w:val="00C039C4"/>
    <w:rsid w:val="00C047A7"/>
    <w:rsid w:val="00C04B76"/>
    <w:rsid w:val="00C05047"/>
    <w:rsid w:val="00C06301"/>
    <w:rsid w:val="00C07679"/>
    <w:rsid w:val="00C07ACC"/>
    <w:rsid w:val="00C105B0"/>
    <w:rsid w:val="00C108AE"/>
    <w:rsid w:val="00C10A24"/>
    <w:rsid w:val="00C10AD9"/>
    <w:rsid w:val="00C10E33"/>
    <w:rsid w:val="00C11A02"/>
    <w:rsid w:val="00C1280F"/>
    <w:rsid w:val="00C129B7"/>
    <w:rsid w:val="00C12B6B"/>
    <w:rsid w:val="00C12BA2"/>
    <w:rsid w:val="00C12F4C"/>
    <w:rsid w:val="00C131CE"/>
    <w:rsid w:val="00C139D5"/>
    <w:rsid w:val="00C13F5B"/>
    <w:rsid w:val="00C1403E"/>
    <w:rsid w:val="00C1556C"/>
    <w:rsid w:val="00C156AB"/>
    <w:rsid w:val="00C15AAE"/>
    <w:rsid w:val="00C15CED"/>
    <w:rsid w:val="00C160B5"/>
    <w:rsid w:val="00C16A03"/>
    <w:rsid w:val="00C174A9"/>
    <w:rsid w:val="00C17573"/>
    <w:rsid w:val="00C17D03"/>
    <w:rsid w:val="00C205CA"/>
    <w:rsid w:val="00C20FBA"/>
    <w:rsid w:val="00C210C0"/>
    <w:rsid w:val="00C21104"/>
    <w:rsid w:val="00C212C5"/>
    <w:rsid w:val="00C2131B"/>
    <w:rsid w:val="00C21607"/>
    <w:rsid w:val="00C21C50"/>
    <w:rsid w:val="00C21D9B"/>
    <w:rsid w:val="00C21F7D"/>
    <w:rsid w:val="00C22153"/>
    <w:rsid w:val="00C2264E"/>
    <w:rsid w:val="00C227B3"/>
    <w:rsid w:val="00C22BB3"/>
    <w:rsid w:val="00C22D92"/>
    <w:rsid w:val="00C232DC"/>
    <w:rsid w:val="00C234B3"/>
    <w:rsid w:val="00C235E5"/>
    <w:rsid w:val="00C236DA"/>
    <w:rsid w:val="00C23C7C"/>
    <w:rsid w:val="00C23F6B"/>
    <w:rsid w:val="00C24006"/>
    <w:rsid w:val="00C247A9"/>
    <w:rsid w:val="00C2564E"/>
    <w:rsid w:val="00C25880"/>
    <w:rsid w:val="00C259CF"/>
    <w:rsid w:val="00C25AAF"/>
    <w:rsid w:val="00C25BB1"/>
    <w:rsid w:val="00C25D43"/>
    <w:rsid w:val="00C26BF4"/>
    <w:rsid w:val="00C276C7"/>
    <w:rsid w:val="00C278DC"/>
    <w:rsid w:val="00C27B5C"/>
    <w:rsid w:val="00C27EED"/>
    <w:rsid w:val="00C3169D"/>
    <w:rsid w:val="00C31F09"/>
    <w:rsid w:val="00C32612"/>
    <w:rsid w:val="00C3300F"/>
    <w:rsid w:val="00C33C37"/>
    <w:rsid w:val="00C33FD7"/>
    <w:rsid w:val="00C34AFC"/>
    <w:rsid w:val="00C34C52"/>
    <w:rsid w:val="00C34FFD"/>
    <w:rsid w:val="00C35424"/>
    <w:rsid w:val="00C35A28"/>
    <w:rsid w:val="00C35F28"/>
    <w:rsid w:val="00C36792"/>
    <w:rsid w:val="00C3780B"/>
    <w:rsid w:val="00C37EBA"/>
    <w:rsid w:val="00C403E6"/>
    <w:rsid w:val="00C40815"/>
    <w:rsid w:val="00C40833"/>
    <w:rsid w:val="00C40A71"/>
    <w:rsid w:val="00C40E6B"/>
    <w:rsid w:val="00C4254A"/>
    <w:rsid w:val="00C42557"/>
    <w:rsid w:val="00C42D11"/>
    <w:rsid w:val="00C42DFB"/>
    <w:rsid w:val="00C43567"/>
    <w:rsid w:val="00C43733"/>
    <w:rsid w:val="00C43F8D"/>
    <w:rsid w:val="00C4442F"/>
    <w:rsid w:val="00C44620"/>
    <w:rsid w:val="00C44D91"/>
    <w:rsid w:val="00C44F9E"/>
    <w:rsid w:val="00C4504D"/>
    <w:rsid w:val="00C4552C"/>
    <w:rsid w:val="00C4568A"/>
    <w:rsid w:val="00C45B20"/>
    <w:rsid w:val="00C45B44"/>
    <w:rsid w:val="00C45E31"/>
    <w:rsid w:val="00C46775"/>
    <w:rsid w:val="00C47CEC"/>
    <w:rsid w:val="00C5037F"/>
    <w:rsid w:val="00C50A40"/>
    <w:rsid w:val="00C50B83"/>
    <w:rsid w:val="00C50F03"/>
    <w:rsid w:val="00C5111D"/>
    <w:rsid w:val="00C5113D"/>
    <w:rsid w:val="00C514D2"/>
    <w:rsid w:val="00C5199C"/>
    <w:rsid w:val="00C51D4A"/>
    <w:rsid w:val="00C523EE"/>
    <w:rsid w:val="00C52435"/>
    <w:rsid w:val="00C525B3"/>
    <w:rsid w:val="00C52640"/>
    <w:rsid w:val="00C52A9F"/>
    <w:rsid w:val="00C53232"/>
    <w:rsid w:val="00C53451"/>
    <w:rsid w:val="00C53C04"/>
    <w:rsid w:val="00C53F39"/>
    <w:rsid w:val="00C544EA"/>
    <w:rsid w:val="00C54BB0"/>
    <w:rsid w:val="00C553FB"/>
    <w:rsid w:val="00C5541A"/>
    <w:rsid w:val="00C55752"/>
    <w:rsid w:val="00C5650C"/>
    <w:rsid w:val="00C56B10"/>
    <w:rsid w:val="00C56E20"/>
    <w:rsid w:val="00C57C27"/>
    <w:rsid w:val="00C57DE2"/>
    <w:rsid w:val="00C60787"/>
    <w:rsid w:val="00C60956"/>
    <w:rsid w:val="00C60E65"/>
    <w:rsid w:val="00C60E78"/>
    <w:rsid w:val="00C61CFB"/>
    <w:rsid w:val="00C61E16"/>
    <w:rsid w:val="00C622C5"/>
    <w:rsid w:val="00C62F53"/>
    <w:rsid w:val="00C634BE"/>
    <w:rsid w:val="00C63716"/>
    <w:rsid w:val="00C63A3F"/>
    <w:rsid w:val="00C64B3C"/>
    <w:rsid w:val="00C64CFD"/>
    <w:rsid w:val="00C6529B"/>
    <w:rsid w:val="00C65ABF"/>
    <w:rsid w:val="00C66AEB"/>
    <w:rsid w:val="00C67DDB"/>
    <w:rsid w:val="00C7069A"/>
    <w:rsid w:val="00C7080F"/>
    <w:rsid w:val="00C7085D"/>
    <w:rsid w:val="00C708F7"/>
    <w:rsid w:val="00C70D01"/>
    <w:rsid w:val="00C70D59"/>
    <w:rsid w:val="00C714DA"/>
    <w:rsid w:val="00C71659"/>
    <w:rsid w:val="00C7190B"/>
    <w:rsid w:val="00C71FD1"/>
    <w:rsid w:val="00C725D4"/>
    <w:rsid w:val="00C72A1B"/>
    <w:rsid w:val="00C72B0F"/>
    <w:rsid w:val="00C72E57"/>
    <w:rsid w:val="00C73483"/>
    <w:rsid w:val="00C73B54"/>
    <w:rsid w:val="00C74124"/>
    <w:rsid w:val="00C746AA"/>
    <w:rsid w:val="00C750C8"/>
    <w:rsid w:val="00C751FA"/>
    <w:rsid w:val="00C7569D"/>
    <w:rsid w:val="00C7572A"/>
    <w:rsid w:val="00C761AD"/>
    <w:rsid w:val="00C7695A"/>
    <w:rsid w:val="00C76B47"/>
    <w:rsid w:val="00C76D4D"/>
    <w:rsid w:val="00C7776E"/>
    <w:rsid w:val="00C77C10"/>
    <w:rsid w:val="00C808B2"/>
    <w:rsid w:val="00C81685"/>
    <w:rsid w:val="00C81811"/>
    <w:rsid w:val="00C81CB7"/>
    <w:rsid w:val="00C82321"/>
    <w:rsid w:val="00C83633"/>
    <w:rsid w:val="00C84132"/>
    <w:rsid w:val="00C846D6"/>
    <w:rsid w:val="00C84753"/>
    <w:rsid w:val="00C86F4C"/>
    <w:rsid w:val="00C87704"/>
    <w:rsid w:val="00C87919"/>
    <w:rsid w:val="00C87E50"/>
    <w:rsid w:val="00C87F32"/>
    <w:rsid w:val="00C902FE"/>
    <w:rsid w:val="00C905E4"/>
    <w:rsid w:val="00C9075A"/>
    <w:rsid w:val="00C90A2D"/>
    <w:rsid w:val="00C91C92"/>
    <w:rsid w:val="00C9339D"/>
    <w:rsid w:val="00C933D7"/>
    <w:rsid w:val="00C93FC2"/>
    <w:rsid w:val="00C94070"/>
    <w:rsid w:val="00C940F9"/>
    <w:rsid w:val="00C94194"/>
    <w:rsid w:val="00C94444"/>
    <w:rsid w:val="00C94B1C"/>
    <w:rsid w:val="00C95013"/>
    <w:rsid w:val="00C951B9"/>
    <w:rsid w:val="00C9545E"/>
    <w:rsid w:val="00C95587"/>
    <w:rsid w:val="00C95B0E"/>
    <w:rsid w:val="00C95BF3"/>
    <w:rsid w:val="00C9631A"/>
    <w:rsid w:val="00C96718"/>
    <w:rsid w:val="00C96E0E"/>
    <w:rsid w:val="00C9719F"/>
    <w:rsid w:val="00C97475"/>
    <w:rsid w:val="00CA0445"/>
    <w:rsid w:val="00CA05DF"/>
    <w:rsid w:val="00CA0ACA"/>
    <w:rsid w:val="00CA1126"/>
    <w:rsid w:val="00CA1409"/>
    <w:rsid w:val="00CA1A91"/>
    <w:rsid w:val="00CA1D0E"/>
    <w:rsid w:val="00CA1D45"/>
    <w:rsid w:val="00CA205E"/>
    <w:rsid w:val="00CA2397"/>
    <w:rsid w:val="00CA25F6"/>
    <w:rsid w:val="00CA281F"/>
    <w:rsid w:val="00CA2A12"/>
    <w:rsid w:val="00CA2B08"/>
    <w:rsid w:val="00CA3B1A"/>
    <w:rsid w:val="00CA3BA2"/>
    <w:rsid w:val="00CA3F9A"/>
    <w:rsid w:val="00CA4286"/>
    <w:rsid w:val="00CA45A8"/>
    <w:rsid w:val="00CA486D"/>
    <w:rsid w:val="00CA59A3"/>
    <w:rsid w:val="00CA5B9D"/>
    <w:rsid w:val="00CA5C05"/>
    <w:rsid w:val="00CA5D06"/>
    <w:rsid w:val="00CA5FBB"/>
    <w:rsid w:val="00CA6538"/>
    <w:rsid w:val="00CA6A5D"/>
    <w:rsid w:val="00CA6B33"/>
    <w:rsid w:val="00CA6DDB"/>
    <w:rsid w:val="00CA7F3D"/>
    <w:rsid w:val="00CB0279"/>
    <w:rsid w:val="00CB18B4"/>
    <w:rsid w:val="00CB1E93"/>
    <w:rsid w:val="00CB2012"/>
    <w:rsid w:val="00CB2325"/>
    <w:rsid w:val="00CB2772"/>
    <w:rsid w:val="00CB2D33"/>
    <w:rsid w:val="00CB2F1D"/>
    <w:rsid w:val="00CB3B53"/>
    <w:rsid w:val="00CB3EEC"/>
    <w:rsid w:val="00CB40E2"/>
    <w:rsid w:val="00CB42E4"/>
    <w:rsid w:val="00CB53C7"/>
    <w:rsid w:val="00CB5C23"/>
    <w:rsid w:val="00CB623C"/>
    <w:rsid w:val="00CB630D"/>
    <w:rsid w:val="00CB6460"/>
    <w:rsid w:val="00CB651A"/>
    <w:rsid w:val="00CB6EF8"/>
    <w:rsid w:val="00CB73F1"/>
    <w:rsid w:val="00CB772B"/>
    <w:rsid w:val="00CB7905"/>
    <w:rsid w:val="00CB791D"/>
    <w:rsid w:val="00CB7B88"/>
    <w:rsid w:val="00CC003D"/>
    <w:rsid w:val="00CC033C"/>
    <w:rsid w:val="00CC05A4"/>
    <w:rsid w:val="00CC061F"/>
    <w:rsid w:val="00CC08CE"/>
    <w:rsid w:val="00CC09C2"/>
    <w:rsid w:val="00CC11C5"/>
    <w:rsid w:val="00CC123A"/>
    <w:rsid w:val="00CC1285"/>
    <w:rsid w:val="00CC1425"/>
    <w:rsid w:val="00CC1532"/>
    <w:rsid w:val="00CC18DC"/>
    <w:rsid w:val="00CC3C54"/>
    <w:rsid w:val="00CC3E5B"/>
    <w:rsid w:val="00CC53C1"/>
    <w:rsid w:val="00CC5437"/>
    <w:rsid w:val="00CC573C"/>
    <w:rsid w:val="00CC5F25"/>
    <w:rsid w:val="00CC6707"/>
    <w:rsid w:val="00CC6AAF"/>
    <w:rsid w:val="00CC72B1"/>
    <w:rsid w:val="00CC768D"/>
    <w:rsid w:val="00CC7A09"/>
    <w:rsid w:val="00CC7AAB"/>
    <w:rsid w:val="00CD03FE"/>
    <w:rsid w:val="00CD05EA"/>
    <w:rsid w:val="00CD0731"/>
    <w:rsid w:val="00CD09B4"/>
    <w:rsid w:val="00CD0B9F"/>
    <w:rsid w:val="00CD0F9B"/>
    <w:rsid w:val="00CD1062"/>
    <w:rsid w:val="00CD26BC"/>
    <w:rsid w:val="00CD362D"/>
    <w:rsid w:val="00CD3824"/>
    <w:rsid w:val="00CD39E2"/>
    <w:rsid w:val="00CD5999"/>
    <w:rsid w:val="00CD5C89"/>
    <w:rsid w:val="00CD5FE0"/>
    <w:rsid w:val="00CD6851"/>
    <w:rsid w:val="00CD730D"/>
    <w:rsid w:val="00CE00ED"/>
    <w:rsid w:val="00CE05C1"/>
    <w:rsid w:val="00CE09CE"/>
    <w:rsid w:val="00CE0DA9"/>
    <w:rsid w:val="00CE13D1"/>
    <w:rsid w:val="00CE14E1"/>
    <w:rsid w:val="00CE21E2"/>
    <w:rsid w:val="00CE2B0C"/>
    <w:rsid w:val="00CE4173"/>
    <w:rsid w:val="00CE4F1F"/>
    <w:rsid w:val="00CE51F2"/>
    <w:rsid w:val="00CE58CE"/>
    <w:rsid w:val="00CE5EC7"/>
    <w:rsid w:val="00CE6845"/>
    <w:rsid w:val="00CE6BCA"/>
    <w:rsid w:val="00CE771E"/>
    <w:rsid w:val="00CE78D3"/>
    <w:rsid w:val="00CE7F42"/>
    <w:rsid w:val="00CF0227"/>
    <w:rsid w:val="00CF02A0"/>
    <w:rsid w:val="00CF045D"/>
    <w:rsid w:val="00CF05AB"/>
    <w:rsid w:val="00CF06BA"/>
    <w:rsid w:val="00CF1667"/>
    <w:rsid w:val="00CF180A"/>
    <w:rsid w:val="00CF2507"/>
    <w:rsid w:val="00CF272D"/>
    <w:rsid w:val="00CF48C4"/>
    <w:rsid w:val="00CF493B"/>
    <w:rsid w:val="00CF5229"/>
    <w:rsid w:val="00CF57C7"/>
    <w:rsid w:val="00CF5929"/>
    <w:rsid w:val="00CF68F9"/>
    <w:rsid w:val="00CF6C70"/>
    <w:rsid w:val="00CF723E"/>
    <w:rsid w:val="00CF7EDC"/>
    <w:rsid w:val="00D0005B"/>
    <w:rsid w:val="00D01E4F"/>
    <w:rsid w:val="00D02184"/>
    <w:rsid w:val="00D023AE"/>
    <w:rsid w:val="00D02B0B"/>
    <w:rsid w:val="00D03064"/>
    <w:rsid w:val="00D030FB"/>
    <w:rsid w:val="00D04C0B"/>
    <w:rsid w:val="00D052F8"/>
    <w:rsid w:val="00D05C2E"/>
    <w:rsid w:val="00D05E09"/>
    <w:rsid w:val="00D060E4"/>
    <w:rsid w:val="00D06118"/>
    <w:rsid w:val="00D064A2"/>
    <w:rsid w:val="00D069A9"/>
    <w:rsid w:val="00D069C0"/>
    <w:rsid w:val="00D075E2"/>
    <w:rsid w:val="00D079FF"/>
    <w:rsid w:val="00D1035B"/>
    <w:rsid w:val="00D10522"/>
    <w:rsid w:val="00D106B6"/>
    <w:rsid w:val="00D10875"/>
    <w:rsid w:val="00D109C0"/>
    <w:rsid w:val="00D109D3"/>
    <w:rsid w:val="00D11209"/>
    <w:rsid w:val="00D11232"/>
    <w:rsid w:val="00D12323"/>
    <w:rsid w:val="00D126B8"/>
    <w:rsid w:val="00D127F9"/>
    <w:rsid w:val="00D129E8"/>
    <w:rsid w:val="00D1311F"/>
    <w:rsid w:val="00D14B53"/>
    <w:rsid w:val="00D15054"/>
    <w:rsid w:val="00D15582"/>
    <w:rsid w:val="00D1569B"/>
    <w:rsid w:val="00D165AD"/>
    <w:rsid w:val="00D16C77"/>
    <w:rsid w:val="00D16EB8"/>
    <w:rsid w:val="00D17659"/>
    <w:rsid w:val="00D176DE"/>
    <w:rsid w:val="00D17DB2"/>
    <w:rsid w:val="00D206FA"/>
    <w:rsid w:val="00D21205"/>
    <w:rsid w:val="00D21806"/>
    <w:rsid w:val="00D21B82"/>
    <w:rsid w:val="00D225CF"/>
    <w:rsid w:val="00D22DF0"/>
    <w:rsid w:val="00D23947"/>
    <w:rsid w:val="00D240AA"/>
    <w:rsid w:val="00D243BC"/>
    <w:rsid w:val="00D24AEC"/>
    <w:rsid w:val="00D24B0C"/>
    <w:rsid w:val="00D24C48"/>
    <w:rsid w:val="00D24CAB"/>
    <w:rsid w:val="00D24D50"/>
    <w:rsid w:val="00D25ECE"/>
    <w:rsid w:val="00D2662A"/>
    <w:rsid w:val="00D2699F"/>
    <w:rsid w:val="00D2796C"/>
    <w:rsid w:val="00D27B3E"/>
    <w:rsid w:val="00D27E48"/>
    <w:rsid w:val="00D27F38"/>
    <w:rsid w:val="00D30B60"/>
    <w:rsid w:val="00D30CFA"/>
    <w:rsid w:val="00D30D37"/>
    <w:rsid w:val="00D30F4A"/>
    <w:rsid w:val="00D3125E"/>
    <w:rsid w:val="00D3139C"/>
    <w:rsid w:val="00D3167F"/>
    <w:rsid w:val="00D31E3D"/>
    <w:rsid w:val="00D32331"/>
    <w:rsid w:val="00D32539"/>
    <w:rsid w:val="00D3282E"/>
    <w:rsid w:val="00D3306D"/>
    <w:rsid w:val="00D336E9"/>
    <w:rsid w:val="00D33B5D"/>
    <w:rsid w:val="00D33D3E"/>
    <w:rsid w:val="00D3403F"/>
    <w:rsid w:val="00D3451C"/>
    <w:rsid w:val="00D3481E"/>
    <w:rsid w:val="00D34ED6"/>
    <w:rsid w:val="00D34F2E"/>
    <w:rsid w:val="00D34F36"/>
    <w:rsid w:val="00D352D7"/>
    <w:rsid w:val="00D359BA"/>
    <w:rsid w:val="00D35C9E"/>
    <w:rsid w:val="00D36109"/>
    <w:rsid w:val="00D3730A"/>
    <w:rsid w:val="00D402EF"/>
    <w:rsid w:val="00D40872"/>
    <w:rsid w:val="00D40CF7"/>
    <w:rsid w:val="00D40E3E"/>
    <w:rsid w:val="00D415CD"/>
    <w:rsid w:val="00D41C89"/>
    <w:rsid w:val="00D41DD1"/>
    <w:rsid w:val="00D421AD"/>
    <w:rsid w:val="00D42337"/>
    <w:rsid w:val="00D42BCB"/>
    <w:rsid w:val="00D42C0A"/>
    <w:rsid w:val="00D434B5"/>
    <w:rsid w:val="00D4359A"/>
    <w:rsid w:val="00D44040"/>
    <w:rsid w:val="00D44433"/>
    <w:rsid w:val="00D4495D"/>
    <w:rsid w:val="00D45108"/>
    <w:rsid w:val="00D453E5"/>
    <w:rsid w:val="00D45836"/>
    <w:rsid w:val="00D4593F"/>
    <w:rsid w:val="00D464D7"/>
    <w:rsid w:val="00D46AC1"/>
    <w:rsid w:val="00D46CE6"/>
    <w:rsid w:val="00D46FAC"/>
    <w:rsid w:val="00D47E1E"/>
    <w:rsid w:val="00D5061F"/>
    <w:rsid w:val="00D51CCD"/>
    <w:rsid w:val="00D526C6"/>
    <w:rsid w:val="00D529B2"/>
    <w:rsid w:val="00D52E83"/>
    <w:rsid w:val="00D532B3"/>
    <w:rsid w:val="00D5366E"/>
    <w:rsid w:val="00D536F8"/>
    <w:rsid w:val="00D5380B"/>
    <w:rsid w:val="00D53C51"/>
    <w:rsid w:val="00D55064"/>
    <w:rsid w:val="00D55327"/>
    <w:rsid w:val="00D558C2"/>
    <w:rsid w:val="00D56BFA"/>
    <w:rsid w:val="00D56C51"/>
    <w:rsid w:val="00D57729"/>
    <w:rsid w:val="00D57E03"/>
    <w:rsid w:val="00D57E3D"/>
    <w:rsid w:val="00D604E3"/>
    <w:rsid w:val="00D608F5"/>
    <w:rsid w:val="00D60AFA"/>
    <w:rsid w:val="00D6104C"/>
    <w:rsid w:val="00D61338"/>
    <w:rsid w:val="00D62579"/>
    <w:rsid w:val="00D633B7"/>
    <w:rsid w:val="00D63756"/>
    <w:rsid w:val="00D637C8"/>
    <w:rsid w:val="00D63AE6"/>
    <w:rsid w:val="00D63EBD"/>
    <w:rsid w:val="00D640DF"/>
    <w:rsid w:val="00D644EE"/>
    <w:rsid w:val="00D646D8"/>
    <w:rsid w:val="00D65741"/>
    <w:rsid w:val="00D66F41"/>
    <w:rsid w:val="00D705D8"/>
    <w:rsid w:val="00D70660"/>
    <w:rsid w:val="00D70F36"/>
    <w:rsid w:val="00D71752"/>
    <w:rsid w:val="00D71943"/>
    <w:rsid w:val="00D719A8"/>
    <w:rsid w:val="00D725D5"/>
    <w:rsid w:val="00D72FF0"/>
    <w:rsid w:val="00D7374D"/>
    <w:rsid w:val="00D740B8"/>
    <w:rsid w:val="00D74429"/>
    <w:rsid w:val="00D746E4"/>
    <w:rsid w:val="00D7480E"/>
    <w:rsid w:val="00D74880"/>
    <w:rsid w:val="00D74965"/>
    <w:rsid w:val="00D74E8E"/>
    <w:rsid w:val="00D75666"/>
    <w:rsid w:val="00D756B7"/>
    <w:rsid w:val="00D758AC"/>
    <w:rsid w:val="00D75BE2"/>
    <w:rsid w:val="00D76416"/>
    <w:rsid w:val="00D76A56"/>
    <w:rsid w:val="00D76BCF"/>
    <w:rsid w:val="00D76D60"/>
    <w:rsid w:val="00D774CE"/>
    <w:rsid w:val="00D80E39"/>
    <w:rsid w:val="00D8194F"/>
    <w:rsid w:val="00D819B3"/>
    <w:rsid w:val="00D81A9A"/>
    <w:rsid w:val="00D821AC"/>
    <w:rsid w:val="00D82344"/>
    <w:rsid w:val="00D828F2"/>
    <w:rsid w:val="00D829EE"/>
    <w:rsid w:val="00D82ABE"/>
    <w:rsid w:val="00D82BED"/>
    <w:rsid w:val="00D82E8A"/>
    <w:rsid w:val="00D830AE"/>
    <w:rsid w:val="00D8346A"/>
    <w:rsid w:val="00D83838"/>
    <w:rsid w:val="00D83E78"/>
    <w:rsid w:val="00D849DF"/>
    <w:rsid w:val="00D84C15"/>
    <w:rsid w:val="00D85B5D"/>
    <w:rsid w:val="00D868EF"/>
    <w:rsid w:val="00D86A6B"/>
    <w:rsid w:val="00D86CE0"/>
    <w:rsid w:val="00D90214"/>
    <w:rsid w:val="00D9041C"/>
    <w:rsid w:val="00D905F2"/>
    <w:rsid w:val="00D91240"/>
    <w:rsid w:val="00D91343"/>
    <w:rsid w:val="00D91839"/>
    <w:rsid w:val="00D9246E"/>
    <w:rsid w:val="00D93B5A"/>
    <w:rsid w:val="00D93BBF"/>
    <w:rsid w:val="00D94A3C"/>
    <w:rsid w:val="00D94CF5"/>
    <w:rsid w:val="00D957A6"/>
    <w:rsid w:val="00D963CF"/>
    <w:rsid w:val="00D966B1"/>
    <w:rsid w:val="00D96B67"/>
    <w:rsid w:val="00D96ECF"/>
    <w:rsid w:val="00D97543"/>
    <w:rsid w:val="00D97773"/>
    <w:rsid w:val="00DA0527"/>
    <w:rsid w:val="00DA14CD"/>
    <w:rsid w:val="00DA19C7"/>
    <w:rsid w:val="00DA1B9B"/>
    <w:rsid w:val="00DA1C2D"/>
    <w:rsid w:val="00DA2872"/>
    <w:rsid w:val="00DA2A8D"/>
    <w:rsid w:val="00DA2BCC"/>
    <w:rsid w:val="00DA3C1C"/>
    <w:rsid w:val="00DA3F1C"/>
    <w:rsid w:val="00DA440E"/>
    <w:rsid w:val="00DA4B6C"/>
    <w:rsid w:val="00DA5000"/>
    <w:rsid w:val="00DA501D"/>
    <w:rsid w:val="00DA5594"/>
    <w:rsid w:val="00DA593A"/>
    <w:rsid w:val="00DA6A65"/>
    <w:rsid w:val="00DA6E95"/>
    <w:rsid w:val="00DA7190"/>
    <w:rsid w:val="00DA72BF"/>
    <w:rsid w:val="00DA7305"/>
    <w:rsid w:val="00DA78A9"/>
    <w:rsid w:val="00DA7D17"/>
    <w:rsid w:val="00DB0142"/>
    <w:rsid w:val="00DB016D"/>
    <w:rsid w:val="00DB077F"/>
    <w:rsid w:val="00DB13A2"/>
    <w:rsid w:val="00DB2516"/>
    <w:rsid w:val="00DB25A3"/>
    <w:rsid w:val="00DB499A"/>
    <w:rsid w:val="00DB573B"/>
    <w:rsid w:val="00DB5D8C"/>
    <w:rsid w:val="00DB6001"/>
    <w:rsid w:val="00DB611E"/>
    <w:rsid w:val="00DB6375"/>
    <w:rsid w:val="00DB66FB"/>
    <w:rsid w:val="00DB7016"/>
    <w:rsid w:val="00DB7D63"/>
    <w:rsid w:val="00DC0124"/>
    <w:rsid w:val="00DC15A4"/>
    <w:rsid w:val="00DC1654"/>
    <w:rsid w:val="00DC1691"/>
    <w:rsid w:val="00DC2DB8"/>
    <w:rsid w:val="00DC3380"/>
    <w:rsid w:val="00DC34F1"/>
    <w:rsid w:val="00DC3D4E"/>
    <w:rsid w:val="00DC40D3"/>
    <w:rsid w:val="00DC4695"/>
    <w:rsid w:val="00DC59B0"/>
    <w:rsid w:val="00DC670F"/>
    <w:rsid w:val="00DC676E"/>
    <w:rsid w:val="00DC7514"/>
    <w:rsid w:val="00DC7D94"/>
    <w:rsid w:val="00DD066E"/>
    <w:rsid w:val="00DD08EC"/>
    <w:rsid w:val="00DD2491"/>
    <w:rsid w:val="00DD2648"/>
    <w:rsid w:val="00DD26AB"/>
    <w:rsid w:val="00DD2BCA"/>
    <w:rsid w:val="00DD3107"/>
    <w:rsid w:val="00DD3278"/>
    <w:rsid w:val="00DD3364"/>
    <w:rsid w:val="00DD3396"/>
    <w:rsid w:val="00DD34E7"/>
    <w:rsid w:val="00DD38D4"/>
    <w:rsid w:val="00DD3912"/>
    <w:rsid w:val="00DD3A3A"/>
    <w:rsid w:val="00DD3D45"/>
    <w:rsid w:val="00DD3DE9"/>
    <w:rsid w:val="00DD4084"/>
    <w:rsid w:val="00DD53CE"/>
    <w:rsid w:val="00DD5450"/>
    <w:rsid w:val="00DD5474"/>
    <w:rsid w:val="00DD58CE"/>
    <w:rsid w:val="00DD63D7"/>
    <w:rsid w:val="00DD6603"/>
    <w:rsid w:val="00DD7475"/>
    <w:rsid w:val="00DD74A9"/>
    <w:rsid w:val="00DD76C0"/>
    <w:rsid w:val="00DD78C3"/>
    <w:rsid w:val="00DE01D3"/>
    <w:rsid w:val="00DE062F"/>
    <w:rsid w:val="00DE0CDC"/>
    <w:rsid w:val="00DE0FBD"/>
    <w:rsid w:val="00DE11FA"/>
    <w:rsid w:val="00DE1502"/>
    <w:rsid w:val="00DE1BE8"/>
    <w:rsid w:val="00DE25A5"/>
    <w:rsid w:val="00DE2999"/>
    <w:rsid w:val="00DE3AAD"/>
    <w:rsid w:val="00DE3B5C"/>
    <w:rsid w:val="00DE4317"/>
    <w:rsid w:val="00DE4638"/>
    <w:rsid w:val="00DE47FF"/>
    <w:rsid w:val="00DE4C3D"/>
    <w:rsid w:val="00DE4C58"/>
    <w:rsid w:val="00DE4FDE"/>
    <w:rsid w:val="00DE572C"/>
    <w:rsid w:val="00DE59F0"/>
    <w:rsid w:val="00DE64D0"/>
    <w:rsid w:val="00DE6849"/>
    <w:rsid w:val="00DE6A14"/>
    <w:rsid w:val="00DE6BA0"/>
    <w:rsid w:val="00DE703D"/>
    <w:rsid w:val="00DE7969"/>
    <w:rsid w:val="00DE7DC7"/>
    <w:rsid w:val="00DF068A"/>
    <w:rsid w:val="00DF0A61"/>
    <w:rsid w:val="00DF1054"/>
    <w:rsid w:val="00DF132F"/>
    <w:rsid w:val="00DF150C"/>
    <w:rsid w:val="00DF17E0"/>
    <w:rsid w:val="00DF206F"/>
    <w:rsid w:val="00DF2586"/>
    <w:rsid w:val="00DF2B06"/>
    <w:rsid w:val="00DF2C1A"/>
    <w:rsid w:val="00DF2F34"/>
    <w:rsid w:val="00DF345B"/>
    <w:rsid w:val="00DF3BF0"/>
    <w:rsid w:val="00DF45B8"/>
    <w:rsid w:val="00DF4652"/>
    <w:rsid w:val="00DF477D"/>
    <w:rsid w:val="00DF4D6C"/>
    <w:rsid w:val="00DF5002"/>
    <w:rsid w:val="00DF503F"/>
    <w:rsid w:val="00DF566E"/>
    <w:rsid w:val="00DF5A81"/>
    <w:rsid w:val="00DF5AA4"/>
    <w:rsid w:val="00DF5F8C"/>
    <w:rsid w:val="00DF6471"/>
    <w:rsid w:val="00DF6485"/>
    <w:rsid w:val="00DF673C"/>
    <w:rsid w:val="00DF6BC4"/>
    <w:rsid w:val="00DF7329"/>
    <w:rsid w:val="00E00911"/>
    <w:rsid w:val="00E00BBC"/>
    <w:rsid w:val="00E00CF7"/>
    <w:rsid w:val="00E01043"/>
    <w:rsid w:val="00E0164E"/>
    <w:rsid w:val="00E01F37"/>
    <w:rsid w:val="00E021E8"/>
    <w:rsid w:val="00E0398E"/>
    <w:rsid w:val="00E03C1F"/>
    <w:rsid w:val="00E03CCD"/>
    <w:rsid w:val="00E05107"/>
    <w:rsid w:val="00E05371"/>
    <w:rsid w:val="00E05C68"/>
    <w:rsid w:val="00E05E23"/>
    <w:rsid w:val="00E05EFB"/>
    <w:rsid w:val="00E0642A"/>
    <w:rsid w:val="00E0652A"/>
    <w:rsid w:val="00E06FA7"/>
    <w:rsid w:val="00E10D51"/>
    <w:rsid w:val="00E10EA4"/>
    <w:rsid w:val="00E114D2"/>
    <w:rsid w:val="00E11A4C"/>
    <w:rsid w:val="00E120FD"/>
    <w:rsid w:val="00E121C1"/>
    <w:rsid w:val="00E1344B"/>
    <w:rsid w:val="00E13479"/>
    <w:rsid w:val="00E1356E"/>
    <w:rsid w:val="00E142D5"/>
    <w:rsid w:val="00E14328"/>
    <w:rsid w:val="00E167AD"/>
    <w:rsid w:val="00E16AE2"/>
    <w:rsid w:val="00E2032D"/>
    <w:rsid w:val="00E206D8"/>
    <w:rsid w:val="00E20F83"/>
    <w:rsid w:val="00E218F9"/>
    <w:rsid w:val="00E21C48"/>
    <w:rsid w:val="00E2242E"/>
    <w:rsid w:val="00E22483"/>
    <w:rsid w:val="00E2251D"/>
    <w:rsid w:val="00E229A3"/>
    <w:rsid w:val="00E22AB7"/>
    <w:rsid w:val="00E22B47"/>
    <w:rsid w:val="00E242B7"/>
    <w:rsid w:val="00E253CE"/>
    <w:rsid w:val="00E25B68"/>
    <w:rsid w:val="00E25E6E"/>
    <w:rsid w:val="00E25E71"/>
    <w:rsid w:val="00E260AE"/>
    <w:rsid w:val="00E26915"/>
    <w:rsid w:val="00E303A7"/>
    <w:rsid w:val="00E30A32"/>
    <w:rsid w:val="00E30A7D"/>
    <w:rsid w:val="00E30D2D"/>
    <w:rsid w:val="00E3117F"/>
    <w:rsid w:val="00E318EE"/>
    <w:rsid w:val="00E31B89"/>
    <w:rsid w:val="00E31D28"/>
    <w:rsid w:val="00E33BE9"/>
    <w:rsid w:val="00E33C63"/>
    <w:rsid w:val="00E348B7"/>
    <w:rsid w:val="00E34B50"/>
    <w:rsid w:val="00E34C97"/>
    <w:rsid w:val="00E3530A"/>
    <w:rsid w:val="00E35556"/>
    <w:rsid w:val="00E35BFF"/>
    <w:rsid w:val="00E363A1"/>
    <w:rsid w:val="00E3681B"/>
    <w:rsid w:val="00E36ED6"/>
    <w:rsid w:val="00E3758A"/>
    <w:rsid w:val="00E4041E"/>
    <w:rsid w:val="00E40F9E"/>
    <w:rsid w:val="00E4195B"/>
    <w:rsid w:val="00E41B8B"/>
    <w:rsid w:val="00E41D60"/>
    <w:rsid w:val="00E41DAA"/>
    <w:rsid w:val="00E41F03"/>
    <w:rsid w:val="00E4338E"/>
    <w:rsid w:val="00E4378B"/>
    <w:rsid w:val="00E43C82"/>
    <w:rsid w:val="00E43F6A"/>
    <w:rsid w:val="00E443F4"/>
    <w:rsid w:val="00E44666"/>
    <w:rsid w:val="00E461F9"/>
    <w:rsid w:val="00E466EC"/>
    <w:rsid w:val="00E469E8"/>
    <w:rsid w:val="00E46B0F"/>
    <w:rsid w:val="00E46EB9"/>
    <w:rsid w:val="00E47998"/>
    <w:rsid w:val="00E47BE3"/>
    <w:rsid w:val="00E50F42"/>
    <w:rsid w:val="00E513BA"/>
    <w:rsid w:val="00E519BF"/>
    <w:rsid w:val="00E51C5A"/>
    <w:rsid w:val="00E51DDD"/>
    <w:rsid w:val="00E51FB5"/>
    <w:rsid w:val="00E5300B"/>
    <w:rsid w:val="00E53053"/>
    <w:rsid w:val="00E53421"/>
    <w:rsid w:val="00E536E6"/>
    <w:rsid w:val="00E53A80"/>
    <w:rsid w:val="00E5407F"/>
    <w:rsid w:val="00E558FF"/>
    <w:rsid w:val="00E56316"/>
    <w:rsid w:val="00E56C31"/>
    <w:rsid w:val="00E56C9A"/>
    <w:rsid w:val="00E57785"/>
    <w:rsid w:val="00E578F8"/>
    <w:rsid w:val="00E61604"/>
    <w:rsid w:val="00E61C00"/>
    <w:rsid w:val="00E61E49"/>
    <w:rsid w:val="00E620C7"/>
    <w:rsid w:val="00E62306"/>
    <w:rsid w:val="00E625F9"/>
    <w:rsid w:val="00E62C47"/>
    <w:rsid w:val="00E62D06"/>
    <w:rsid w:val="00E62E81"/>
    <w:rsid w:val="00E6322D"/>
    <w:rsid w:val="00E63681"/>
    <w:rsid w:val="00E6377B"/>
    <w:rsid w:val="00E64992"/>
    <w:rsid w:val="00E6585C"/>
    <w:rsid w:val="00E66250"/>
    <w:rsid w:val="00E66B3A"/>
    <w:rsid w:val="00E7037E"/>
    <w:rsid w:val="00E709D3"/>
    <w:rsid w:val="00E71544"/>
    <w:rsid w:val="00E71B7D"/>
    <w:rsid w:val="00E7233A"/>
    <w:rsid w:val="00E72C56"/>
    <w:rsid w:val="00E73E75"/>
    <w:rsid w:val="00E74807"/>
    <w:rsid w:val="00E750A0"/>
    <w:rsid w:val="00E75302"/>
    <w:rsid w:val="00E753AD"/>
    <w:rsid w:val="00E766EB"/>
    <w:rsid w:val="00E76E51"/>
    <w:rsid w:val="00E77114"/>
    <w:rsid w:val="00E7737A"/>
    <w:rsid w:val="00E774F0"/>
    <w:rsid w:val="00E77666"/>
    <w:rsid w:val="00E80687"/>
    <w:rsid w:val="00E81961"/>
    <w:rsid w:val="00E8352A"/>
    <w:rsid w:val="00E836C4"/>
    <w:rsid w:val="00E84520"/>
    <w:rsid w:val="00E84524"/>
    <w:rsid w:val="00E84B07"/>
    <w:rsid w:val="00E85848"/>
    <w:rsid w:val="00E85BB5"/>
    <w:rsid w:val="00E85E08"/>
    <w:rsid w:val="00E86530"/>
    <w:rsid w:val="00E86B00"/>
    <w:rsid w:val="00E87177"/>
    <w:rsid w:val="00E90C6F"/>
    <w:rsid w:val="00E90F88"/>
    <w:rsid w:val="00E910FF"/>
    <w:rsid w:val="00E9150D"/>
    <w:rsid w:val="00E916F0"/>
    <w:rsid w:val="00E91B47"/>
    <w:rsid w:val="00E92715"/>
    <w:rsid w:val="00E93393"/>
    <w:rsid w:val="00E93E17"/>
    <w:rsid w:val="00E94295"/>
    <w:rsid w:val="00E94EFA"/>
    <w:rsid w:val="00E950DC"/>
    <w:rsid w:val="00E959AF"/>
    <w:rsid w:val="00E965AA"/>
    <w:rsid w:val="00E97522"/>
    <w:rsid w:val="00E97845"/>
    <w:rsid w:val="00E978AD"/>
    <w:rsid w:val="00E97A57"/>
    <w:rsid w:val="00E97AC5"/>
    <w:rsid w:val="00E97BE7"/>
    <w:rsid w:val="00EA065C"/>
    <w:rsid w:val="00EA06EB"/>
    <w:rsid w:val="00EA22D5"/>
    <w:rsid w:val="00EA2332"/>
    <w:rsid w:val="00EA2542"/>
    <w:rsid w:val="00EA26CC"/>
    <w:rsid w:val="00EA2D54"/>
    <w:rsid w:val="00EA3B87"/>
    <w:rsid w:val="00EA42A8"/>
    <w:rsid w:val="00EA6026"/>
    <w:rsid w:val="00EA6BD3"/>
    <w:rsid w:val="00EA6C80"/>
    <w:rsid w:val="00EB0304"/>
    <w:rsid w:val="00EB077A"/>
    <w:rsid w:val="00EB095F"/>
    <w:rsid w:val="00EB0CFA"/>
    <w:rsid w:val="00EB0DB8"/>
    <w:rsid w:val="00EB122C"/>
    <w:rsid w:val="00EB1DA5"/>
    <w:rsid w:val="00EB24FB"/>
    <w:rsid w:val="00EB297C"/>
    <w:rsid w:val="00EB3001"/>
    <w:rsid w:val="00EB39B1"/>
    <w:rsid w:val="00EB3D25"/>
    <w:rsid w:val="00EB42EE"/>
    <w:rsid w:val="00EB478A"/>
    <w:rsid w:val="00EB4D35"/>
    <w:rsid w:val="00EB5AB2"/>
    <w:rsid w:val="00EB5CEE"/>
    <w:rsid w:val="00EB64CA"/>
    <w:rsid w:val="00EB69F8"/>
    <w:rsid w:val="00EB71FA"/>
    <w:rsid w:val="00EB7A6E"/>
    <w:rsid w:val="00EB7B4F"/>
    <w:rsid w:val="00EB7C42"/>
    <w:rsid w:val="00EC083A"/>
    <w:rsid w:val="00EC0A15"/>
    <w:rsid w:val="00EC0C30"/>
    <w:rsid w:val="00EC0CAD"/>
    <w:rsid w:val="00EC0D43"/>
    <w:rsid w:val="00EC11D1"/>
    <w:rsid w:val="00EC1265"/>
    <w:rsid w:val="00EC1D14"/>
    <w:rsid w:val="00EC2F33"/>
    <w:rsid w:val="00EC32D3"/>
    <w:rsid w:val="00EC33C0"/>
    <w:rsid w:val="00EC395E"/>
    <w:rsid w:val="00EC4165"/>
    <w:rsid w:val="00EC4A31"/>
    <w:rsid w:val="00EC5523"/>
    <w:rsid w:val="00EC5878"/>
    <w:rsid w:val="00EC5D48"/>
    <w:rsid w:val="00EC6042"/>
    <w:rsid w:val="00EC6A0D"/>
    <w:rsid w:val="00EC7119"/>
    <w:rsid w:val="00EC71BE"/>
    <w:rsid w:val="00EC72C5"/>
    <w:rsid w:val="00EC766F"/>
    <w:rsid w:val="00EC7CC1"/>
    <w:rsid w:val="00EC7E75"/>
    <w:rsid w:val="00ED0506"/>
    <w:rsid w:val="00ED0520"/>
    <w:rsid w:val="00ED05C8"/>
    <w:rsid w:val="00ED066D"/>
    <w:rsid w:val="00ED0860"/>
    <w:rsid w:val="00ED0A87"/>
    <w:rsid w:val="00ED14B5"/>
    <w:rsid w:val="00ED1568"/>
    <w:rsid w:val="00ED1987"/>
    <w:rsid w:val="00ED2001"/>
    <w:rsid w:val="00ED2200"/>
    <w:rsid w:val="00ED2580"/>
    <w:rsid w:val="00ED2687"/>
    <w:rsid w:val="00ED2D73"/>
    <w:rsid w:val="00ED2F0C"/>
    <w:rsid w:val="00ED34C6"/>
    <w:rsid w:val="00ED3CF4"/>
    <w:rsid w:val="00ED4871"/>
    <w:rsid w:val="00ED5076"/>
    <w:rsid w:val="00ED54F5"/>
    <w:rsid w:val="00ED5718"/>
    <w:rsid w:val="00ED5DC6"/>
    <w:rsid w:val="00ED5F6C"/>
    <w:rsid w:val="00ED6353"/>
    <w:rsid w:val="00ED63AF"/>
    <w:rsid w:val="00ED65D1"/>
    <w:rsid w:val="00ED66B8"/>
    <w:rsid w:val="00ED6E3A"/>
    <w:rsid w:val="00ED6F3E"/>
    <w:rsid w:val="00ED71FB"/>
    <w:rsid w:val="00ED73EF"/>
    <w:rsid w:val="00EE04A5"/>
    <w:rsid w:val="00EE05C8"/>
    <w:rsid w:val="00EE0813"/>
    <w:rsid w:val="00EE1B15"/>
    <w:rsid w:val="00EE1F4D"/>
    <w:rsid w:val="00EE3043"/>
    <w:rsid w:val="00EE31C7"/>
    <w:rsid w:val="00EE369F"/>
    <w:rsid w:val="00EE3A6A"/>
    <w:rsid w:val="00EE3A6C"/>
    <w:rsid w:val="00EE3D16"/>
    <w:rsid w:val="00EE4666"/>
    <w:rsid w:val="00EE4B8F"/>
    <w:rsid w:val="00EE4CFF"/>
    <w:rsid w:val="00EE5314"/>
    <w:rsid w:val="00EE5A17"/>
    <w:rsid w:val="00EE5A59"/>
    <w:rsid w:val="00EE5B00"/>
    <w:rsid w:val="00EE626F"/>
    <w:rsid w:val="00EE66DE"/>
    <w:rsid w:val="00EE6822"/>
    <w:rsid w:val="00EE68CD"/>
    <w:rsid w:val="00EE6AF7"/>
    <w:rsid w:val="00EE6F11"/>
    <w:rsid w:val="00EE794B"/>
    <w:rsid w:val="00EF1223"/>
    <w:rsid w:val="00EF189F"/>
    <w:rsid w:val="00EF2482"/>
    <w:rsid w:val="00EF24B5"/>
    <w:rsid w:val="00EF2896"/>
    <w:rsid w:val="00EF2F48"/>
    <w:rsid w:val="00EF314F"/>
    <w:rsid w:val="00EF3498"/>
    <w:rsid w:val="00EF37A4"/>
    <w:rsid w:val="00EF4ACF"/>
    <w:rsid w:val="00EF4CAB"/>
    <w:rsid w:val="00EF6598"/>
    <w:rsid w:val="00EF6DAF"/>
    <w:rsid w:val="00EF6E5C"/>
    <w:rsid w:val="00EF76B0"/>
    <w:rsid w:val="00EF78F0"/>
    <w:rsid w:val="00F01367"/>
    <w:rsid w:val="00F018EF"/>
    <w:rsid w:val="00F0194E"/>
    <w:rsid w:val="00F01CE8"/>
    <w:rsid w:val="00F030BA"/>
    <w:rsid w:val="00F0372F"/>
    <w:rsid w:val="00F03C2F"/>
    <w:rsid w:val="00F045D1"/>
    <w:rsid w:val="00F055D5"/>
    <w:rsid w:val="00F056CD"/>
    <w:rsid w:val="00F0577C"/>
    <w:rsid w:val="00F05952"/>
    <w:rsid w:val="00F05B71"/>
    <w:rsid w:val="00F05EB3"/>
    <w:rsid w:val="00F05F81"/>
    <w:rsid w:val="00F072BF"/>
    <w:rsid w:val="00F07A28"/>
    <w:rsid w:val="00F07AE8"/>
    <w:rsid w:val="00F07C37"/>
    <w:rsid w:val="00F07FE6"/>
    <w:rsid w:val="00F1039E"/>
    <w:rsid w:val="00F10FC8"/>
    <w:rsid w:val="00F112AA"/>
    <w:rsid w:val="00F11ADF"/>
    <w:rsid w:val="00F11C89"/>
    <w:rsid w:val="00F11CC9"/>
    <w:rsid w:val="00F11F4A"/>
    <w:rsid w:val="00F12A3F"/>
    <w:rsid w:val="00F12DBD"/>
    <w:rsid w:val="00F14FA0"/>
    <w:rsid w:val="00F17110"/>
    <w:rsid w:val="00F17129"/>
    <w:rsid w:val="00F177E7"/>
    <w:rsid w:val="00F17EFB"/>
    <w:rsid w:val="00F2042B"/>
    <w:rsid w:val="00F20BC5"/>
    <w:rsid w:val="00F20D3E"/>
    <w:rsid w:val="00F20EA6"/>
    <w:rsid w:val="00F20FEB"/>
    <w:rsid w:val="00F214EF"/>
    <w:rsid w:val="00F216D8"/>
    <w:rsid w:val="00F21A94"/>
    <w:rsid w:val="00F21DC9"/>
    <w:rsid w:val="00F22349"/>
    <w:rsid w:val="00F22767"/>
    <w:rsid w:val="00F22C72"/>
    <w:rsid w:val="00F23170"/>
    <w:rsid w:val="00F23453"/>
    <w:rsid w:val="00F2436E"/>
    <w:rsid w:val="00F24A7F"/>
    <w:rsid w:val="00F24E57"/>
    <w:rsid w:val="00F256F1"/>
    <w:rsid w:val="00F25EB2"/>
    <w:rsid w:val="00F26271"/>
    <w:rsid w:val="00F266C9"/>
    <w:rsid w:val="00F27042"/>
    <w:rsid w:val="00F27FBE"/>
    <w:rsid w:val="00F30340"/>
    <w:rsid w:val="00F3034C"/>
    <w:rsid w:val="00F30A15"/>
    <w:rsid w:val="00F30CC4"/>
    <w:rsid w:val="00F315BB"/>
    <w:rsid w:val="00F31849"/>
    <w:rsid w:val="00F31EB9"/>
    <w:rsid w:val="00F32CFF"/>
    <w:rsid w:val="00F33553"/>
    <w:rsid w:val="00F33BBD"/>
    <w:rsid w:val="00F33BD4"/>
    <w:rsid w:val="00F33C89"/>
    <w:rsid w:val="00F349ED"/>
    <w:rsid w:val="00F349F4"/>
    <w:rsid w:val="00F34C51"/>
    <w:rsid w:val="00F350CD"/>
    <w:rsid w:val="00F35450"/>
    <w:rsid w:val="00F35AB1"/>
    <w:rsid w:val="00F35E70"/>
    <w:rsid w:val="00F36486"/>
    <w:rsid w:val="00F36BC2"/>
    <w:rsid w:val="00F36F11"/>
    <w:rsid w:val="00F37393"/>
    <w:rsid w:val="00F4036C"/>
    <w:rsid w:val="00F40574"/>
    <w:rsid w:val="00F407C3"/>
    <w:rsid w:val="00F41090"/>
    <w:rsid w:val="00F41835"/>
    <w:rsid w:val="00F41A9F"/>
    <w:rsid w:val="00F41CF5"/>
    <w:rsid w:val="00F427AD"/>
    <w:rsid w:val="00F42965"/>
    <w:rsid w:val="00F42DA5"/>
    <w:rsid w:val="00F443FC"/>
    <w:rsid w:val="00F4440B"/>
    <w:rsid w:val="00F44B92"/>
    <w:rsid w:val="00F457ED"/>
    <w:rsid w:val="00F458D3"/>
    <w:rsid w:val="00F45F28"/>
    <w:rsid w:val="00F463AB"/>
    <w:rsid w:val="00F47923"/>
    <w:rsid w:val="00F50276"/>
    <w:rsid w:val="00F508AC"/>
    <w:rsid w:val="00F51A0E"/>
    <w:rsid w:val="00F523E1"/>
    <w:rsid w:val="00F5269E"/>
    <w:rsid w:val="00F52F0D"/>
    <w:rsid w:val="00F53075"/>
    <w:rsid w:val="00F536B8"/>
    <w:rsid w:val="00F541C0"/>
    <w:rsid w:val="00F54898"/>
    <w:rsid w:val="00F54C3C"/>
    <w:rsid w:val="00F554DB"/>
    <w:rsid w:val="00F56C8B"/>
    <w:rsid w:val="00F5779A"/>
    <w:rsid w:val="00F60768"/>
    <w:rsid w:val="00F60A14"/>
    <w:rsid w:val="00F613F5"/>
    <w:rsid w:val="00F619B1"/>
    <w:rsid w:val="00F61E97"/>
    <w:rsid w:val="00F6286C"/>
    <w:rsid w:val="00F62E74"/>
    <w:rsid w:val="00F63053"/>
    <w:rsid w:val="00F642B2"/>
    <w:rsid w:val="00F64AB4"/>
    <w:rsid w:val="00F65622"/>
    <w:rsid w:val="00F65AFD"/>
    <w:rsid w:val="00F65D1F"/>
    <w:rsid w:val="00F667BF"/>
    <w:rsid w:val="00F671E1"/>
    <w:rsid w:val="00F67299"/>
    <w:rsid w:val="00F67983"/>
    <w:rsid w:val="00F67DF1"/>
    <w:rsid w:val="00F70401"/>
    <w:rsid w:val="00F704CF"/>
    <w:rsid w:val="00F7107C"/>
    <w:rsid w:val="00F7141E"/>
    <w:rsid w:val="00F7168A"/>
    <w:rsid w:val="00F71770"/>
    <w:rsid w:val="00F71E0E"/>
    <w:rsid w:val="00F72F20"/>
    <w:rsid w:val="00F730C8"/>
    <w:rsid w:val="00F730E1"/>
    <w:rsid w:val="00F75866"/>
    <w:rsid w:val="00F762A8"/>
    <w:rsid w:val="00F76A0C"/>
    <w:rsid w:val="00F770B7"/>
    <w:rsid w:val="00F774CC"/>
    <w:rsid w:val="00F7751B"/>
    <w:rsid w:val="00F7783A"/>
    <w:rsid w:val="00F77D99"/>
    <w:rsid w:val="00F77F54"/>
    <w:rsid w:val="00F80247"/>
    <w:rsid w:val="00F80627"/>
    <w:rsid w:val="00F80826"/>
    <w:rsid w:val="00F80939"/>
    <w:rsid w:val="00F814D9"/>
    <w:rsid w:val="00F82022"/>
    <w:rsid w:val="00F823E8"/>
    <w:rsid w:val="00F825B6"/>
    <w:rsid w:val="00F82A2B"/>
    <w:rsid w:val="00F830D3"/>
    <w:rsid w:val="00F83B98"/>
    <w:rsid w:val="00F83C93"/>
    <w:rsid w:val="00F83F47"/>
    <w:rsid w:val="00F84408"/>
    <w:rsid w:val="00F8479B"/>
    <w:rsid w:val="00F84EA4"/>
    <w:rsid w:val="00F85217"/>
    <w:rsid w:val="00F85995"/>
    <w:rsid w:val="00F85B6D"/>
    <w:rsid w:val="00F85E3F"/>
    <w:rsid w:val="00F865BE"/>
    <w:rsid w:val="00F86B1E"/>
    <w:rsid w:val="00F86B36"/>
    <w:rsid w:val="00F8767F"/>
    <w:rsid w:val="00F87C7F"/>
    <w:rsid w:val="00F902DD"/>
    <w:rsid w:val="00F91C37"/>
    <w:rsid w:val="00F922B2"/>
    <w:rsid w:val="00F92ECD"/>
    <w:rsid w:val="00F93346"/>
    <w:rsid w:val="00F942CA"/>
    <w:rsid w:val="00F9472A"/>
    <w:rsid w:val="00F96BD5"/>
    <w:rsid w:val="00F97247"/>
    <w:rsid w:val="00F97696"/>
    <w:rsid w:val="00FA06D6"/>
    <w:rsid w:val="00FA124D"/>
    <w:rsid w:val="00FA13B3"/>
    <w:rsid w:val="00FA25A2"/>
    <w:rsid w:val="00FA2713"/>
    <w:rsid w:val="00FA284F"/>
    <w:rsid w:val="00FA39F8"/>
    <w:rsid w:val="00FA3B08"/>
    <w:rsid w:val="00FA5234"/>
    <w:rsid w:val="00FA58F4"/>
    <w:rsid w:val="00FA7060"/>
    <w:rsid w:val="00FA7C05"/>
    <w:rsid w:val="00FB014D"/>
    <w:rsid w:val="00FB05CF"/>
    <w:rsid w:val="00FB1ACC"/>
    <w:rsid w:val="00FB20C6"/>
    <w:rsid w:val="00FB27FC"/>
    <w:rsid w:val="00FB2889"/>
    <w:rsid w:val="00FB2D57"/>
    <w:rsid w:val="00FB3001"/>
    <w:rsid w:val="00FB3031"/>
    <w:rsid w:val="00FB34D6"/>
    <w:rsid w:val="00FB3A89"/>
    <w:rsid w:val="00FB50FF"/>
    <w:rsid w:val="00FB538D"/>
    <w:rsid w:val="00FB573B"/>
    <w:rsid w:val="00FB6376"/>
    <w:rsid w:val="00FB65FA"/>
    <w:rsid w:val="00FB7045"/>
    <w:rsid w:val="00FB709B"/>
    <w:rsid w:val="00FB74E8"/>
    <w:rsid w:val="00FB755F"/>
    <w:rsid w:val="00FB7932"/>
    <w:rsid w:val="00FC113E"/>
    <w:rsid w:val="00FC15F1"/>
    <w:rsid w:val="00FC18E1"/>
    <w:rsid w:val="00FC1945"/>
    <w:rsid w:val="00FC1ED4"/>
    <w:rsid w:val="00FC26CF"/>
    <w:rsid w:val="00FC2741"/>
    <w:rsid w:val="00FC3136"/>
    <w:rsid w:val="00FC3195"/>
    <w:rsid w:val="00FC337A"/>
    <w:rsid w:val="00FC3E27"/>
    <w:rsid w:val="00FC408E"/>
    <w:rsid w:val="00FC4139"/>
    <w:rsid w:val="00FC49F3"/>
    <w:rsid w:val="00FC589F"/>
    <w:rsid w:val="00FC6192"/>
    <w:rsid w:val="00FC63E9"/>
    <w:rsid w:val="00FC6834"/>
    <w:rsid w:val="00FC6FFA"/>
    <w:rsid w:val="00FC7463"/>
    <w:rsid w:val="00FC7848"/>
    <w:rsid w:val="00FC7E03"/>
    <w:rsid w:val="00FD0382"/>
    <w:rsid w:val="00FD07C8"/>
    <w:rsid w:val="00FD1603"/>
    <w:rsid w:val="00FD2220"/>
    <w:rsid w:val="00FD2248"/>
    <w:rsid w:val="00FD2299"/>
    <w:rsid w:val="00FD22EF"/>
    <w:rsid w:val="00FD2A61"/>
    <w:rsid w:val="00FD2F15"/>
    <w:rsid w:val="00FD37DD"/>
    <w:rsid w:val="00FD46A4"/>
    <w:rsid w:val="00FD4835"/>
    <w:rsid w:val="00FD5103"/>
    <w:rsid w:val="00FD58EB"/>
    <w:rsid w:val="00FD5EFF"/>
    <w:rsid w:val="00FD638E"/>
    <w:rsid w:val="00FD663E"/>
    <w:rsid w:val="00FD6C5E"/>
    <w:rsid w:val="00FD70FB"/>
    <w:rsid w:val="00FD729D"/>
    <w:rsid w:val="00FD765C"/>
    <w:rsid w:val="00FD7B66"/>
    <w:rsid w:val="00FD7B96"/>
    <w:rsid w:val="00FE12C0"/>
    <w:rsid w:val="00FE203F"/>
    <w:rsid w:val="00FE226D"/>
    <w:rsid w:val="00FE2282"/>
    <w:rsid w:val="00FE2FDF"/>
    <w:rsid w:val="00FE35F5"/>
    <w:rsid w:val="00FE378D"/>
    <w:rsid w:val="00FE49BA"/>
    <w:rsid w:val="00FE4B48"/>
    <w:rsid w:val="00FE5A82"/>
    <w:rsid w:val="00FE5D6E"/>
    <w:rsid w:val="00FE612F"/>
    <w:rsid w:val="00FE6B3D"/>
    <w:rsid w:val="00FE7292"/>
    <w:rsid w:val="00FE72BD"/>
    <w:rsid w:val="00FE7A10"/>
    <w:rsid w:val="00FF032A"/>
    <w:rsid w:val="00FF05FB"/>
    <w:rsid w:val="00FF1DD3"/>
    <w:rsid w:val="00FF1F3C"/>
    <w:rsid w:val="00FF225D"/>
    <w:rsid w:val="00FF2693"/>
    <w:rsid w:val="00FF26A7"/>
    <w:rsid w:val="00FF2A3B"/>
    <w:rsid w:val="00FF32BB"/>
    <w:rsid w:val="00FF365D"/>
    <w:rsid w:val="00FF3C59"/>
    <w:rsid w:val="00FF40E1"/>
    <w:rsid w:val="00FF4508"/>
    <w:rsid w:val="00FF472A"/>
    <w:rsid w:val="00FF4987"/>
    <w:rsid w:val="00FF4A8F"/>
    <w:rsid w:val="00FF50D8"/>
    <w:rsid w:val="00FF6543"/>
    <w:rsid w:val="00FF661F"/>
    <w:rsid w:val="00FF6D4E"/>
    <w:rsid w:val="00FF71B1"/>
    <w:rsid w:val="00FF725B"/>
    <w:rsid w:val="00FF7C5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D52BC62-09F1-4D07-B752-9F6E83423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73A"/>
    <w:rPr>
      <w:sz w:val="24"/>
      <w:szCs w:val="24"/>
      <w:lang w:eastAsia="zh-CN"/>
    </w:rPr>
  </w:style>
  <w:style w:type="paragraph" w:styleId="Heading1">
    <w:name w:val="heading 1"/>
    <w:basedOn w:val="Normal"/>
    <w:next w:val="Normal"/>
    <w:qFormat/>
    <w:pPr>
      <w:keepNext/>
      <w:outlineLvl w:val="0"/>
    </w:pPr>
    <w:rPr>
      <w:rFonts w:ascii="Arial Narrow" w:hAnsi="Arial Narrow"/>
      <w:b/>
      <w:sz w:val="20"/>
    </w:rPr>
  </w:style>
  <w:style w:type="paragraph" w:styleId="Heading2">
    <w:name w:val="heading 2"/>
    <w:basedOn w:val="Normal"/>
    <w:next w:val="Normal"/>
    <w:qFormat/>
    <w:pPr>
      <w:keepNext/>
      <w:outlineLvl w:val="1"/>
    </w:pPr>
    <w:rPr>
      <w:b/>
      <w:sz w:val="18"/>
    </w:rPr>
  </w:style>
  <w:style w:type="paragraph" w:styleId="Heading3">
    <w:name w:val="heading 3"/>
    <w:basedOn w:val="Normal"/>
    <w:next w:val="Normal"/>
    <w:qFormat/>
    <w:pPr>
      <w:keepNext/>
      <w:outlineLvl w:val="2"/>
    </w:pPr>
    <w:rPr>
      <w:rFonts w:ascii="Arial Narrow" w:hAnsi="Arial Narrow"/>
      <w:b/>
    </w:rPr>
  </w:style>
  <w:style w:type="paragraph" w:styleId="Heading4">
    <w:name w:val="heading 4"/>
    <w:basedOn w:val="Normal"/>
    <w:next w:val="Normal"/>
    <w:qFormat/>
    <w:pPr>
      <w:keepNext/>
      <w:outlineLvl w:val="3"/>
    </w:pPr>
    <w:rPr>
      <w:rFonts w:ascii="Arial Narrow" w:hAnsi="Arial Narrow"/>
      <w:b/>
      <w:snapToGrid w:val="0"/>
      <w:color w:val="000000"/>
      <w:sz w:val="20"/>
      <w:lang w:val="en-US" w:eastAsia="en-US"/>
    </w:rPr>
  </w:style>
  <w:style w:type="paragraph" w:styleId="Heading5">
    <w:name w:val="heading 5"/>
    <w:basedOn w:val="Normal"/>
    <w:next w:val="Normal"/>
    <w:qFormat/>
    <w:pPr>
      <w:keepNext/>
      <w:jc w:val="center"/>
      <w:outlineLvl w:val="4"/>
    </w:pPr>
    <w:rPr>
      <w:rFonts w:ascii="Arial Narrow" w:hAnsi="Arial Narrow"/>
      <w:b/>
      <w:snapToGrid w:val="0"/>
      <w:color w:val="000000"/>
      <w:sz w:val="20"/>
      <w:lang w:val="en-US" w:eastAsia="en-US"/>
    </w:rPr>
  </w:style>
  <w:style w:type="paragraph" w:styleId="Heading6">
    <w:name w:val="heading 6"/>
    <w:basedOn w:val="Normal"/>
    <w:next w:val="Normal"/>
    <w:qFormat/>
    <w:pPr>
      <w:keepNext/>
      <w:outlineLvl w:val="5"/>
    </w:pPr>
    <w:rPr>
      <w:rFonts w:ascii="Arial Narrow" w:hAnsi="Arial Narrow"/>
      <w:b/>
      <w:snapToGrid w:val="0"/>
      <w:color w:val="000000"/>
      <w:sz w:val="18"/>
      <w:lang w:val="en-US" w:eastAsia="en-US"/>
    </w:rPr>
  </w:style>
  <w:style w:type="paragraph" w:styleId="Heading7">
    <w:name w:val="heading 7"/>
    <w:basedOn w:val="Normal"/>
    <w:next w:val="Normal"/>
    <w:qFormat/>
    <w:pPr>
      <w:keepNext/>
      <w:jc w:val="center"/>
      <w:outlineLvl w:val="6"/>
    </w:pPr>
    <w:rPr>
      <w:b/>
      <w:snapToGrid w:val="0"/>
      <w:sz w:val="20"/>
      <w:lang w:val="en-US" w:eastAsia="en-US"/>
    </w:rPr>
  </w:style>
  <w:style w:type="paragraph" w:styleId="Heading8">
    <w:name w:val="heading 8"/>
    <w:basedOn w:val="Normal"/>
    <w:next w:val="Normal"/>
    <w:qFormat/>
    <w:pPr>
      <w:keepNext/>
      <w:outlineLvl w:val="7"/>
    </w:pPr>
    <w:rPr>
      <w:rFonts w:ascii="Arial Narrow" w:hAnsi="Arial Narrow"/>
      <w:b/>
      <w:snapToGrid w:val="0"/>
      <w:color w:val="000000"/>
      <w:lang w:val="en-US" w:eastAsia="en-US"/>
    </w:rPr>
  </w:style>
  <w:style w:type="paragraph" w:styleId="Heading9">
    <w:name w:val="heading 9"/>
    <w:basedOn w:val="Normal"/>
    <w:next w:val="Normal"/>
    <w:qFormat/>
    <w:pPr>
      <w:keepNext/>
      <w:jc w:val="center"/>
      <w:outlineLvl w:val="8"/>
    </w:pPr>
    <w:rPr>
      <w:rFonts w:ascii="Arial Narrow" w:hAnsi="Arial Narrow"/>
      <w:b/>
      <w:snapToGrid w:val="0"/>
      <w:color w:val="00000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703"/>
        <w:tab w:val="right" w:pos="9406"/>
      </w:tabs>
    </w:pPr>
  </w:style>
  <w:style w:type="character" w:styleId="PageNumber">
    <w:name w:val="page number"/>
    <w:basedOn w:val="DefaultParagraphFont"/>
  </w:style>
  <w:style w:type="paragraph" w:styleId="BalloonText">
    <w:name w:val="Balloon Text"/>
    <w:basedOn w:val="Normal"/>
    <w:semiHidden/>
    <w:rPr>
      <w:rFonts w:ascii="Tahoma" w:hAnsi="Tahoma" w:cs="SimSun"/>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jc w:val="both"/>
    </w:pPr>
    <w:rPr>
      <w:rFonts w:ascii="Tahoma" w:hAnsi="Tahoma"/>
      <w:i/>
      <w:sz w:val="20"/>
    </w:rPr>
  </w:style>
  <w:style w:type="paragraph" w:styleId="BodyText2">
    <w:name w:val="Body Text 2"/>
    <w:basedOn w:val="Normal"/>
    <w:pPr>
      <w:jc w:val="both"/>
    </w:pPr>
    <w:rPr>
      <w:i/>
    </w:rPr>
  </w:style>
  <w:style w:type="paragraph" w:styleId="BodyText3">
    <w:name w:val="Body Text 3"/>
    <w:basedOn w:val="Normal"/>
    <w:pPr>
      <w:pBdr>
        <w:bottom w:val="single" w:sz="4" w:space="1" w:color="auto"/>
      </w:pBdr>
    </w:pPr>
    <w:rPr>
      <w:sz w:val="20"/>
      <w:lang w:val="en-US"/>
    </w:rPr>
  </w:style>
  <w:style w:type="paragraph" w:styleId="BodyTextIndent">
    <w:name w:val="Body Text Indent"/>
    <w:basedOn w:val="Normal"/>
    <w:pPr>
      <w:spacing w:line="360" w:lineRule="auto"/>
      <w:ind w:firstLine="708"/>
      <w:jc w:val="both"/>
    </w:pPr>
    <w:rPr>
      <w:rFonts w:ascii="Arial" w:hAnsi="Arial"/>
    </w:rPr>
  </w:style>
  <w:style w:type="paragraph" w:styleId="BodyTextIndent2">
    <w:name w:val="Body Text Indent 2"/>
    <w:basedOn w:val="Normal"/>
    <w:pPr>
      <w:spacing w:line="360" w:lineRule="auto"/>
      <w:ind w:left="706"/>
      <w:jc w:val="both"/>
    </w:pPr>
    <w:rPr>
      <w:rFonts w:ascii="Arial" w:hAnsi="Arial"/>
    </w:rPr>
  </w:style>
  <w:style w:type="paragraph" w:styleId="BodyTextIndent3">
    <w:name w:val="Body Text Indent 3"/>
    <w:basedOn w:val="Normal"/>
    <w:pPr>
      <w:ind w:left="180" w:firstLine="526"/>
      <w:jc w:val="both"/>
    </w:pPr>
  </w:style>
  <w:style w:type="paragraph" w:styleId="Header">
    <w:name w:val="header"/>
    <w:basedOn w:val="Normal"/>
    <w:pPr>
      <w:tabs>
        <w:tab w:val="center" w:pos="4320"/>
        <w:tab w:val="right" w:pos="8640"/>
      </w:tabs>
    </w:pPr>
  </w:style>
  <w:style w:type="paragraph" w:styleId="BlockText">
    <w:name w:val="Block Text"/>
    <w:basedOn w:val="Normal"/>
    <w:uiPriority w:val="99"/>
    <w:pPr>
      <w:widowControl w:val="0"/>
      <w:ind w:left="20" w:right="200" w:firstLine="700"/>
      <w:jc w:val="both"/>
    </w:pPr>
    <w:rPr>
      <w:rFonts w:ascii="Латински" w:eastAsia="Times New Roman" w:hAnsi="Латински"/>
      <w:lang w:val="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Title">
    <w:name w:val="Title"/>
    <w:basedOn w:val="Normal"/>
    <w:qFormat/>
    <w:pPr>
      <w:ind w:left="180"/>
      <w:jc w:val="center"/>
    </w:pPr>
    <w:rPr>
      <w:rFonts w:ascii="Латински" w:hAnsi="Латински"/>
      <w:b/>
      <w:caps/>
      <w:sz w:val="28"/>
    </w:rPr>
  </w:style>
  <w:style w:type="character" w:customStyle="1" w:styleId="search01">
    <w:name w:val="search01"/>
    <w:rsid w:val="0075073A"/>
    <w:rPr>
      <w:sz w:val="28"/>
      <w:szCs w:val="28"/>
      <w:shd w:val="clear" w:color="auto" w:fill="FFFF66"/>
    </w:rPr>
  </w:style>
  <w:style w:type="paragraph" w:styleId="ListParagraph">
    <w:name w:val="List Paragraph"/>
    <w:basedOn w:val="Normal"/>
    <w:uiPriority w:val="34"/>
    <w:qFormat/>
    <w:rsid w:val="001738F8"/>
    <w:pPr>
      <w:spacing w:after="200" w:line="276" w:lineRule="auto"/>
      <w:ind w:left="720"/>
      <w:contextualSpacing/>
    </w:pPr>
    <w:rPr>
      <w:rFonts w:ascii="Calibri" w:eastAsia="Calibri" w:hAnsi="Calibri"/>
      <w:sz w:val="22"/>
      <w:szCs w:val="22"/>
      <w:lang w:val="en-US" w:eastAsia="en-US"/>
    </w:rPr>
  </w:style>
  <w:style w:type="paragraph" w:styleId="Revision">
    <w:name w:val="Revision"/>
    <w:hidden/>
    <w:uiPriority w:val="99"/>
    <w:semiHidden/>
    <w:rsid w:val="00C1556C"/>
    <w:rPr>
      <w:sz w:val="24"/>
      <w:szCs w:val="24"/>
      <w:lang w:eastAsia="zh-CN"/>
    </w:rPr>
  </w:style>
  <w:style w:type="paragraph" w:customStyle="1" w:styleId="Body">
    <w:name w:val="Body"/>
    <w:rsid w:val="005E05DA"/>
    <w:pPr>
      <w:pBdr>
        <w:top w:val="nil"/>
        <w:left w:val="nil"/>
        <w:bottom w:val="nil"/>
        <w:right w:val="nil"/>
        <w:between w:val="nil"/>
        <w:bar w:val="nil"/>
      </w:pBdr>
    </w:pPr>
    <w:rPr>
      <w:rFonts w:eastAsia="Arial Unicode MS" w:cs="Arial Unicode MS"/>
      <w:color w:val="000000"/>
      <w:sz w:val="24"/>
      <w:szCs w:val="24"/>
      <w:u w:color="000000"/>
      <w:bdr w:val="nil"/>
    </w:rPr>
  </w:style>
  <w:style w:type="character" w:styleId="PlaceholderText">
    <w:name w:val="Placeholder Text"/>
    <w:basedOn w:val="DefaultParagraphFont"/>
    <w:uiPriority w:val="99"/>
    <w:semiHidden/>
    <w:rsid w:val="009A382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5732">
      <w:bodyDiv w:val="1"/>
      <w:marLeft w:val="0"/>
      <w:marRight w:val="0"/>
      <w:marTop w:val="0"/>
      <w:marBottom w:val="0"/>
      <w:divBdr>
        <w:top w:val="none" w:sz="0" w:space="0" w:color="auto"/>
        <w:left w:val="none" w:sz="0" w:space="0" w:color="auto"/>
        <w:bottom w:val="none" w:sz="0" w:space="0" w:color="auto"/>
        <w:right w:val="none" w:sz="0" w:space="0" w:color="auto"/>
      </w:divBdr>
    </w:div>
    <w:div w:id="227234094">
      <w:bodyDiv w:val="1"/>
      <w:marLeft w:val="0"/>
      <w:marRight w:val="0"/>
      <w:marTop w:val="0"/>
      <w:marBottom w:val="0"/>
      <w:divBdr>
        <w:top w:val="none" w:sz="0" w:space="0" w:color="auto"/>
        <w:left w:val="none" w:sz="0" w:space="0" w:color="auto"/>
        <w:bottom w:val="none" w:sz="0" w:space="0" w:color="auto"/>
        <w:right w:val="none" w:sz="0" w:space="0" w:color="auto"/>
      </w:divBdr>
    </w:div>
    <w:div w:id="251665053">
      <w:bodyDiv w:val="1"/>
      <w:marLeft w:val="0"/>
      <w:marRight w:val="0"/>
      <w:marTop w:val="0"/>
      <w:marBottom w:val="0"/>
      <w:divBdr>
        <w:top w:val="none" w:sz="0" w:space="0" w:color="auto"/>
        <w:left w:val="none" w:sz="0" w:space="0" w:color="auto"/>
        <w:bottom w:val="none" w:sz="0" w:space="0" w:color="auto"/>
        <w:right w:val="none" w:sz="0" w:space="0" w:color="auto"/>
      </w:divBdr>
    </w:div>
    <w:div w:id="334889775">
      <w:bodyDiv w:val="1"/>
      <w:marLeft w:val="0"/>
      <w:marRight w:val="0"/>
      <w:marTop w:val="0"/>
      <w:marBottom w:val="0"/>
      <w:divBdr>
        <w:top w:val="none" w:sz="0" w:space="0" w:color="auto"/>
        <w:left w:val="none" w:sz="0" w:space="0" w:color="auto"/>
        <w:bottom w:val="none" w:sz="0" w:space="0" w:color="auto"/>
        <w:right w:val="none" w:sz="0" w:space="0" w:color="auto"/>
      </w:divBdr>
    </w:div>
    <w:div w:id="380061524">
      <w:bodyDiv w:val="1"/>
      <w:marLeft w:val="0"/>
      <w:marRight w:val="0"/>
      <w:marTop w:val="0"/>
      <w:marBottom w:val="0"/>
      <w:divBdr>
        <w:top w:val="none" w:sz="0" w:space="0" w:color="auto"/>
        <w:left w:val="none" w:sz="0" w:space="0" w:color="auto"/>
        <w:bottom w:val="none" w:sz="0" w:space="0" w:color="auto"/>
        <w:right w:val="none" w:sz="0" w:space="0" w:color="auto"/>
      </w:divBdr>
    </w:div>
    <w:div w:id="432476357">
      <w:bodyDiv w:val="1"/>
      <w:marLeft w:val="0"/>
      <w:marRight w:val="0"/>
      <w:marTop w:val="0"/>
      <w:marBottom w:val="0"/>
      <w:divBdr>
        <w:top w:val="none" w:sz="0" w:space="0" w:color="auto"/>
        <w:left w:val="none" w:sz="0" w:space="0" w:color="auto"/>
        <w:bottom w:val="none" w:sz="0" w:space="0" w:color="auto"/>
        <w:right w:val="none" w:sz="0" w:space="0" w:color="auto"/>
      </w:divBdr>
    </w:div>
    <w:div w:id="433280850">
      <w:bodyDiv w:val="1"/>
      <w:marLeft w:val="0"/>
      <w:marRight w:val="0"/>
      <w:marTop w:val="0"/>
      <w:marBottom w:val="0"/>
      <w:divBdr>
        <w:top w:val="none" w:sz="0" w:space="0" w:color="auto"/>
        <w:left w:val="none" w:sz="0" w:space="0" w:color="auto"/>
        <w:bottom w:val="none" w:sz="0" w:space="0" w:color="auto"/>
        <w:right w:val="none" w:sz="0" w:space="0" w:color="auto"/>
      </w:divBdr>
    </w:div>
    <w:div w:id="536354141">
      <w:bodyDiv w:val="1"/>
      <w:marLeft w:val="0"/>
      <w:marRight w:val="0"/>
      <w:marTop w:val="0"/>
      <w:marBottom w:val="0"/>
      <w:divBdr>
        <w:top w:val="none" w:sz="0" w:space="0" w:color="auto"/>
        <w:left w:val="none" w:sz="0" w:space="0" w:color="auto"/>
        <w:bottom w:val="none" w:sz="0" w:space="0" w:color="auto"/>
        <w:right w:val="none" w:sz="0" w:space="0" w:color="auto"/>
      </w:divBdr>
    </w:div>
    <w:div w:id="565841585">
      <w:bodyDiv w:val="1"/>
      <w:marLeft w:val="0"/>
      <w:marRight w:val="0"/>
      <w:marTop w:val="0"/>
      <w:marBottom w:val="0"/>
      <w:divBdr>
        <w:top w:val="none" w:sz="0" w:space="0" w:color="auto"/>
        <w:left w:val="none" w:sz="0" w:space="0" w:color="auto"/>
        <w:bottom w:val="none" w:sz="0" w:space="0" w:color="auto"/>
        <w:right w:val="none" w:sz="0" w:space="0" w:color="auto"/>
      </w:divBdr>
    </w:div>
    <w:div w:id="593781615">
      <w:bodyDiv w:val="1"/>
      <w:marLeft w:val="0"/>
      <w:marRight w:val="0"/>
      <w:marTop w:val="0"/>
      <w:marBottom w:val="0"/>
      <w:divBdr>
        <w:top w:val="none" w:sz="0" w:space="0" w:color="auto"/>
        <w:left w:val="none" w:sz="0" w:space="0" w:color="auto"/>
        <w:bottom w:val="none" w:sz="0" w:space="0" w:color="auto"/>
        <w:right w:val="none" w:sz="0" w:space="0" w:color="auto"/>
      </w:divBdr>
    </w:div>
    <w:div w:id="616907140">
      <w:bodyDiv w:val="1"/>
      <w:marLeft w:val="0"/>
      <w:marRight w:val="0"/>
      <w:marTop w:val="0"/>
      <w:marBottom w:val="0"/>
      <w:divBdr>
        <w:top w:val="none" w:sz="0" w:space="0" w:color="auto"/>
        <w:left w:val="none" w:sz="0" w:space="0" w:color="auto"/>
        <w:bottom w:val="none" w:sz="0" w:space="0" w:color="auto"/>
        <w:right w:val="none" w:sz="0" w:space="0" w:color="auto"/>
      </w:divBdr>
    </w:div>
    <w:div w:id="689188173">
      <w:bodyDiv w:val="1"/>
      <w:marLeft w:val="0"/>
      <w:marRight w:val="0"/>
      <w:marTop w:val="0"/>
      <w:marBottom w:val="0"/>
      <w:divBdr>
        <w:top w:val="none" w:sz="0" w:space="0" w:color="auto"/>
        <w:left w:val="none" w:sz="0" w:space="0" w:color="auto"/>
        <w:bottom w:val="none" w:sz="0" w:space="0" w:color="auto"/>
        <w:right w:val="none" w:sz="0" w:space="0" w:color="auto"/>
      </w:divBdr>
    </w:div>
    <w:div w:id="694965133">
      <w:bodyDiv w:val="1"/>
      <w:marLeft w:val="0"/>
      <w:marRight w:val="0"/>
      <w:marTop w:val="0"/>
      <w:marBottom w:val="0"/>
      <w:divBdr>
        <w:top w:val="none" w:sz="0" w:space="0" w:color="auto"/>
        <w:left w:val="none" w:sz="0" w:space="0" w:color="auto"/>
        <w:bottom w:val="none" w:sz="0" w:space="0" w:color="auto"/>
        <w:right w:val="none" w:sz="0" w:space="0" w:color="auto"/>
      </w:divBdr>
    </w:div>
    <w:div w:id="920677372">
      <w:bodyDiv w:val="1"/>
      <w:marLeft w:val="0"/>
      <w:marRight w:val="0"/>
      <w:marTop w:val="0"/>
      <w:marBottom w:val="0"/>
      <w:divBdr>
        <w:top w:val="none" w:sz="0" w:space="0" w:color="auto"/>
        <w:left w:val="none" w:sz="0" w:space="0" w:color="auto"/>
        <w:bottom w:val="none" w:sz="0" w:space="0" w:color="auto"/>
        <w:right w:val="none" w:sz="0" w:space="0" w:color="auto"/>
      </w:divBdr>
    </w:div>
    <w:div w:id="923681177">
      <w:bodyDiv w:val="1"/>
      <w:marLeft w:val="0"/>
      <w:marRight w:val="0"/>
      <w:marTop w:val="0"/>
      <w:marBottom w:val="0"/>
      <w:divBdr>
        <w:top w:val="none" w:sz="0" w:space="0" w:color="auto"/>
        <w:left w:val="none" w:sz="0" w:space="0" w:color="auto"/>
        <w:bottom w:val="none" w:sz="0" w:space="0" w:color="auto"/>
        <w:right w:val="none" w:sz="0" w:space="0" w:color="auto"/>
      </w:divBdr>
    </w:div>
    <w:div w:id="1137916827">
      <w:bodyDiv w:val="1"/>
      <w:marLeft w:val="0"/>
      <w:marRight w:val="0"/>
      <w:marTop w:val="0"/>
      <w:marBottom w:val="0"/>
      <w:divBdr>
        <w:top w:val="none" w:sz="0" w:space="0" w:color="auto"/>
        <w:left w:val="none" w:sz="0" w:space="0" w:color="auto"/>
        <w:bottom w:val="none" w:sz="0" w:space="0" w:color="auto"/>
        <w:right w:val="none" w:sz="0" w:space="0" w:color="auto"/>
      </w:divBdr>
    </w:div>
    <w:div w:id="1139766808">
      <w:bodyDiv w:val="1"/>
      <w:marLeft w:val="0"/>
      <w:marRight w:val="0"/>
      <w:marTop w:val="0"/>
      <w:marBottom w:val="0"/>
      <w:divBdr>
        <w:top w:val="none" w:sz="0" w:space="0" w:color="auto"/>
        <w:left w:val="none" w:sz="0" w:space="0" w:color="auto"/>
        <w:bottom w:val="none" w:sz="0" w:space="0" w:color="auto"/>
        <w:right w:val="none" w:sz="0" w:space="0" w:color="auto"/>
      </w:divBdr>
    </w:div>
    <w:div w:id="1188106242">
      <w:bodyDiv w:val="1"/>
      <w:marLeft w:val="0"/>
      <w:marRight w:val="0"/>
      <w:marTop w:val="0"/>
      <w:marBottom w:val="0"/>
      <w:divBdr>
        <w:top w:val="none" w:sz="0" w:space="0" w:color="auto"/>
        <w:left w:val="none" w:sz="0" w:space="0" w:color="auto"/>
        <w:bottom w:val="none" w:sz="0" w:space="0" w:color="auto"/>
        <w:right w:val="none" w:sz="0" w:space="0" w:color="auto"/>
      </w:divBdr>
    </w:div>
    <w:div w:id="1191189195">
      <w:bodyDiv w:val="1"/>
      <w:marLeft w:val="0"/>
      <w:marRight w:val="0"/>
      <w:marTop w:val="0"/>
      <w:marBottom w:val="0"/>
      <w:divBdr>
        <w:top w:val="none" w:sz="0" w:space="0" w:color="auto"/>
        <w:left w:val="none" w:sz="0" w:space="0" w:color="auto"/>
        <w:bottom w:val="none" w:sz="0" w:space="0" w:color="auto"/>
        <w:right w:val="none" w:sz="0" w:space="0" w:color="auto"/>
      </w:divBdr>
    </w:div>
    <w:div w:id="1212965368">
      <w:bodyDiv w:val="1"/>
      <w:marLeft w:val="0"/>
      <w:marRight w:val="0"/>
      <w:marTop w:val="0"/>
      <w:marBottom w:val="0"/>
      <w:divBdr>
        <w:top w:val="none" w:sz="0" w:space="0" w:color="auto"/>
        <w:left w:val="none" w:sz="0" w:space="0" w:color="auto"/>
        <w:bottom w:val="none" w:sz="0" w:space="0" w:color="auto"/>
        <w:right w:val="none" w:sz="0" w:space="0" w:color="auto"/>
      </w:divBdr>
    </w:div>
    <w:div w:id="1225799171">
      <w:bodyDiv w:val="1"/>
      <w:marLeft w:val="0"/>
      <w:marRight w:val="0"/>
      <w:marTop w:val="0"/>
      <w:marBottom w:val="0"/>
      <w:divBdr>
        <w:top w:val="none" w:sz="0" w:space="0" w:color="auto"/>
        <w:left w:val="none" w:sz="0" w:space="0" w:color="auto"/>
        <w:bottom w:val="none" w:sz="0" w:space="0" w:color="auto"/>
        <w:right w:val="none" w:sz="0" w:space="0" w:color="auto"/>
      </w:divBdr>
    </w:div>
    <w:div w:id="1340041419">
      <w:bodyDiv w:val="1"/>
      <w:marLeft w:val="0"/>
      <w:marRight w:val="0"/>
      <w:marTop w:val="0"/>
      <w:marBottom w:val="0"/>
      <w:divBdr>
        <w:top w:val="none" w:sz="0" w:space="0" w:color="auto"/>
        <w:left w:val="none" w:sz="0" w:space="0" w:color="auto"/>
        <w:bottom w:val="none" w:sz="0" w:space="0" w:color="auto"/>
        <w:right w:val="none" w:sz="0" w:space="0" w:color="auto"/>
      </w:divBdr>
    </w:div>
    <w:div w:id="1369144695">
      <w:bodyDiv w:val="1"/>
      <w:marLeft w:val="0"/>
      <w:marRight w:val="0"/>
      <w:marTop w:val="0"/>
      <w:marBottom w:val="0"/>
      <w:divBdr>
        <w:top w:val="none" w:sz="0" w:space="0" w:color="auto"/>
        <w:left w:val="none" w:sz="0" w:space="0" w:color="auto"/>
        <w:bottom w:val="none" w:sz="0" w:space="0" w:color="auto"/>
        <w:right w:val="none" w:sz="0" w:space="0" w:color="auto"/>
      </w:divBdr>
    </w:div>
    <w:div w:id="1456486189">
      <w:bodyDiv w:val="1"/>
      <w:marLeft w:val="0"/>
      <w:marRight w:val="0"/>
      <w:marTop w:val="0"/>
      <w:marBottom w:val="0"/>
      <w:divBdr>
        <w:top w:val="none" w:sz="0" w:space="0" w:color="auto"/>
        <w:left w:val="none" w:sz="0" w:space="0" w:color="auto"/>
        <w:bottom w:val="none" w:sz="0" w:space="0" w:color="auto"/>
        <w:right w:val="none" w:sz="0" w:space="0" w:color="auto"/>
      </w:divBdr>
    </w:div>
    <w:div w:id="1517385298">
      <w:bodyDiv w:val="1"/>
      <w:marLeft w:val="0"/>
      <w:marRight w:val="0"/>
      <w:marTop w:val="0"/>
      <w:marBottom w:val="0"/>
      <w:divBdr>
        <w:top w:val="none" w:sz="0" w:space="0" w:color="auto"/>
        <w:left w:val="none" w:sz="0" w:space="0" w:color="auto"/>
        <w:bottom w:val="none" w:sz="0" w:space="0" w:color="auto"/>
        <w:right w:val="none" w:sz="0" w:space="0" w:color="auto"/>
      </w:divBdr>
    </w:div>
    <w:div w:id="1660961525">
      <w:bodyDiv w:val="1"/>
      <w:marLeft w:val="0"/>
      <w:marRight w:val="0"/>
      <w:marTop w:val="0"/>
      <w:marBottom w:val="0"/>
      <w:divBdr>
        <w:top w:val="none" w:sz="0" w:space="0" w:color="auto"/>
        <w:left w:val="none" w:sz="0" w:space="0" w:color="auto"/>
        <w:bottom w:val="none" w:sz="0" w:space="0" w:color="auto"/>
        <w:right w:val="none" w:sz="0" w:space="0" w:color="auto"/>
      </w:divBdr>
    </w:div>
    <w:div w:id="1710915252">
      <w:bodyDiv w:val="1"/>
      <w:marLeft w:val="0"/>
      <w:marRight w:val="0"/>
      <w:marTop w:val="0"/>
      <w:marBottom w:val="0"/>
      <w:divBdr>
        <w:top w:val="none" w:sz="0" w:space="0" w:color="auto"/>
        <w:left w:val="none" w:sz="0" w:space="0" w:color="auto"/>
        <w:bottom w:val="none" w:sz="0" w:space="0" w:color="auto"/>
        <w:right w:val="none" w:sz="0" w:space="0" w:color="auto"/>
      </w:divBdr>
    </w:div>
    <w:div w:id="1750498125">
      <w:bodyDiv w:val="1"/>
      <w:marLeft w:val="0"/>
      <w:marRight w:val="0"/>
      <w:marTop w:val="0"/>
      <w:marBottom w:val="0"/>
      <w:divBdr>
        <w:top w:val="none" w:sz="0" w:space="0" w:color="auto"/>
        <w:left w:val="none" w:sz="0" w:space="0" w:color="auto"/>
        <w:bottom w:val="none" w:sz="0" w:space="0" w:color="auto"/>
        <w:right w:val="none" w:sz="0" w:space="0" w:color="auto"/>
      </w:divBdr>
    </w:div>
    <w:div w:id="190991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7CFDD-3F18-440E-9560-CD2CFC77D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4005</Words>
  <Characters>22835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ОСНОВНИ ФИНАНСОВИ И ОПЕРАТИВНИ ПОКАЗАТЕЛИ</vt:lpstr>
    </vt:vector>
  </TitlesOfParts>
  <Company>Ministry of Transport and Communications Bulgaria</Company>
  <LinksUpToDate>false</LinksUpToDate>
  <CharactersWithSpaces>26787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ОСНОВНИ ФИНАНСОВИ И ОПЕРАТИВНИ ПОКАЗАТЕЛИ</dc:title>
  <dc:creator>Mihail Dragiev</dc:creator>
  <cp:lastModifiedBy>Dobrinca Antcheva</cp:lastModifiedBy>
  <cp:revision>3</cp:revision>
  <cp:lastPrinted>2018-10-22T06:28:00Z</cp:lastPrinted>
  <dcterms:created xsi:type="dcterms:W3CDTF">2018-10-22T12:25:00Z</dcterms:created>
  <dcterms:modified xsi:type="dcterms:W3CDTF">2018-10-22T12:25:00Z</dcterms:modified>
</cp:coreProperties>
</file>